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86333" w14:textId="7C81BE71" w:rsidR="006F5D56" w:rsidRPr="005F523D" w:rsidRDefault="006F5D56" w:rsidP="006F5D56">
      <w:pPr>
        <w:pStyle w:val="3GPPHeader"/>
        <w:spacing w:after="60"/>
        <w:rPr>
          <w:sz w:val="32"/>
          <w:szCs w:val="32"/>
          <w:highlight w:val="yellow"/>
          <w:lang w:val="en-US"/>
        </w:rPr>
      </w:pPr>
      <w:r w:rsidRPr="005F523D">
        <w:rPr>
          <w:lang w:val="en-US"/>
        </w:rPr>
        <w:t>3GPP TSG-RAN WG2 #111e</w:t>
      </w:r>
      <w:r w:rsidRPr="005F523D">
        <w:rPr>
          <w:lang w:val="en-US"/>
        </w:rPr>
        <w:tab/>
      </w:r>
      <w:r w:rsidRPr="005F523D">
        <w:rPr>
          <w:sz w:val="32"/>
          <w:szCs w:val="32"/>
          <w:lang w:val="en-US"/>
        </w:rPr>
        <w:t>Tdoc R2-</w:t>
      </w:r>
      <w:r w:rsidR="00E45BE5" w:rsidRPr="005F523D">
        <w:rPr>
          <w:sz w:val="32"/>
          <w:szCs w:val="32"/>
          <w:lang w:val="en-US"/>
        </w:rPr>
        <w:t>2007598</w:t>
      </w:r>
    </w:p>
    <w:p w14:paraId="63B03AD2" w14:textId="0E718CD9" w:rsidR="00E90E49" w:rsidRPr="00351A96" w:rsidRDefault="006F5D56" w:rsidP="00357380">
      <w:pPr>
        <w:pStyle w:val="3GPPHeader"/>
        <w:rPr>
          <w:lang w:val="en-US"/>
        </w:rPr>
      </w:pPr>
      <w:r w:rsidRPr="00351A96">
        <w:rPr>
          <w:lang w:val="en-US"/>
        </w:rPr>
        <w:t>Electronic meeting, August 17</w:t>
      </w:r>
      <w:r w:rsidRPr="00351A96">
        <w:rPr>
          <w:vertAlign w:val="superscript"/>
          <w:lang w:val="en-US"/>
        </w:rPr>
        <w:t>th</w:t>
      </w:r>
      <w:r w:rsidRPr="00351A96">
        <w:rPr>
          <w:lang w:val="en-US"/>
        </w:rPr>
        <w:t xml:space="preserve"> – 28</w:t>
      </w:r>
      <w:r w:rsidRPr="00351A96">
        <w:rPr>
          <w:vertAlign w:val="superscript"/>
          <w:lang w:val="en-US"/>
        </w:rPr>
        <w:t>th</w:t>
      </w:r>
      <w:r w:rsidRPr="00351A96">
        <w:rPr>
          <w:lang w:val="en-US"/>
        </w:rPr>
        <w:t xml:space="preserve"> 2020</w:t>
      </w:r>
      <w:r w:rsidR="00FB6E58">
        <w:rPr>
          <w:noProof/>
          <w:lang w:val="en-US"/>
        </w:rPr>
        <w:tab/>
      </w:r>
    </w:p>
    <w:p w14:paraId="7ACD7EB9" w14:textId="637EC0FD" w:rsidR="00E90E49" w:rsidRPr="00610E96" w:rsidRDefault="00E90E49" w:rsidP="00311702">
      <w:pPr>
        <w:pStyle w:val="3GPPHeader"/>
        <w:rPr>
          <w:lang w:val="en-US"/>
        </w:rPr>
      </w:pPr>
      <w:r w:rsidRPr="00610E96">
        <w:rPr>
          <w:lang w:val="en-US"/>
        </w:rPr>
        <w:t>Agenda Item:</w:t>
      </w:r>
      <w:r w:rsidR="006F5D56">
        <w:rPr>
          <w:lang w:val="en-US"/>
        </w:rPr>
        <w:tab/>
        <w:t>8.2.2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51B3A201" w:rsidR="00E90E49" w:rsidRPr="0010662B" w:rsidRDefault="003D3C45" w:rsidP="00311702">
      <w:pPr>
        <w:pStyle w:val="3GPPHeader"/>
        <w:rPr>
          <w:lang w:val="en-US"/>
        </w:rPr>
      </w:pPr>
      <w:r w:rsidRPr="0010662B">
        <w:rPr>
          <w:lang w:val="en-US"/>
        </w:rPr>
        <w:t>Title:</w:t>
      </w:r>
      <w:r w:rsidR="00E90E49" w:rsidRPr="0010662B">
        <w:rPr>
          <w:lang w:val="en-US"/>
        </w:rPr>
        <w:tab/>
      </w:r>
      <w:r w:rsidR="006F5D56">
        <w:rPr>
          <w:lang w:val="en-US"/>
        </w:rPr>
        <w:t xml:space="preserve">Efficient SCG/SCell </w:t>
      </w:r>
      <w:r w:rsidR="00D64BD7">
        <w:rPr>
          <w:lang w:val="en-US"/>
        </w:rPr>
        <w:t>(de)</w:t>
      </w:r>
      <w:r w:rsidR="006F5D56">
        <w:rPr>
          <w:lang w:val="en-US"/>
        </w:rPr>
        <w:t>activation</w:t>
      </w:r>
      <w:r w:rsidR="00D457F4">
        <w:rPr>
          <w:lang w:val="en-US"/>
        </w:rPr>
        <w:t xml:space="preserve"> </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bookmarkStart w:id="0" w:name="_Ref47539125"/>
      <w:r w:rsidRPr="00CE0424">
        <w:t>Introduction</w:t>
      </w:r>
      <w:bookmarkEnd w:id="0"/>
    </w:p>
    <w:p w14:paraId="5649CC9B" w14:textId="6471A1BC" w:rsidR="009A1C6B" w:rsidRDefault="009A1C6B" w:rsidP="00552FFF">
      <w:pPr>
        <w:rPr>
          <w:lang w:val="en-US"/>
        </w:rPr>
      </w:pPr>
      <w:r>
        <w:rPr>
          <w:lang w:val="en-US"/>
        </w:rPr>
        <w:t>This contribution is to discuss the following objective</w:t>
      </w:r>
      <w:r w:rsidR="00552FFF">
        <w:rPr>
          <w:lang w:val="en-US"/>
        </w:rPr>
        <w:t xml:space="preserve"> of the Rel-17 WI on </w:t>
      </w:r>
      <w:r>
        <w:rPr>
          <w:lang w:val="en-US"/>
        </w:rPr>
        <w:t>MR-DC further enhancements</w:t>
      </w:r>
      <w:r w:rsidR="008F0E3D">
        <w:rPr>
          <w:lang w:val="en-US"/>
        </w:rPr>
        <w:t xml:space="preserve"> [1]</w:t>
      </w:r>
      <w:r>
        <w:rPr>
          <w:lang w:val="en-US"/>
        </w:rPr>
        <w:t>:</w:t>
      </w:r>
    </w:p>
    <w:p w14:paraId="01269DC0" w14:textId="77777777" w:rsidR="009A1C6B" w:rsidRPr="00977A59" w:rsidRDefault="009A1C6B" w:rsidP="009A1C6B">
      <w:pPr>
        <w:numPr>
          <w:ilvl w:val="0"/>
          <w:numId w:val="41"/>
        </w:numPr>
        <w:overflowPunct w:val="0"/>
        <w:autoSpaceDE w:val="0"/>
        <w:autoSpaceDN w:val="0"/>
        <w:adjustRightInd w:val="0"/>
        <w:spacing w:after="0" w:line="240" w:lineRule="auto"/>
        <w:jc w:val="both"/>
        <w:textAlignment w:val="baseline"/>
        <w:rPr>
          <w:bCs/>
          <w:lang w:val="en-US"/>
        </w:rPr>
      </w:pPr>
      <w:r w:rsidRPr="00977A59">
        <w:rPr>
          <w:bCs/>
          <w:lang w:val="en-US"/>
        </w:rPr>
        <w:t xml:space="preserve">Support efficient activation/de-activation mechanism for one SCG and SCells </w:t>
      </w:r>
    </w:p>
    <w:p w14:paraId="417E8586" w14:textId="727E81D4" w:rsidR="009A1C6B" w:rsidRPr="00621C66" w:rsidRDefault="009A1C6B" w:rsidP="009A1C6B">
      <w:pPr>
        <w:numPr>
          <w:ilvl w:val="0"/>
          <w:numId w:val="42"/>
        </w:numPr>
        <w:overflowPunct w:val="0"/>
        <w:autoSpaceDE w:val="0"/>
        <w:autoSpaceDN w:val="0"/>
        <w:adjustRightInd w:val="0"/>
        <w:spacing w:after="0" w:line="240" w:lineRule="auto"/>
        <w:jc w:val="both"/>
        <w:textAlignment w:val="baseline"/>
        <w:rPr>
          <w:bCs/>
          <w:lang w:val="en-US"/>
        </w:rPr>
      </w:pPr>
      <w:r w:rsidRPr="00621C66">
        <w:rPr>
          <w:bCs/>
          <w:lang w:val="en-US"/>
        </w:rPr>
        <w:t>Support for one SCG applies to (NG)EN-DC, and NR-DC [RAN2, RAN3, RAN4]</w:t>
      </w:r>
    </w:p>
    <w:p w14:paraId="2DD5370E" w14:textId="77777777" w:rsidR="009A1C6B" w:rsidRPr="00621C66" w:rsidRDefault="009A1C6B" w:rsidP="009A1C6B">
      <w:pPr>
        <w:numPr>
          <w:ilvl w:val="0"/>
          <w:numId w:val="42"/>
        </w:numPr>
        <w:overflowPunct w:val="0"/>
        <w:autoSpaceDE w:val="0"/>
        <w:autoSpaceDN w:val="0"/>
        <w:adjustRightInd w:val="0"/>
        <w:spacing w:after="0" w:line="240" w:lineRule="auto"/>
        <w:jc w:val="both"/>
        <w:textAlignment w:val="baseline"/>
        <w:rPr>
          <w:bCs/>
          <w:lang w:val="en-US"/>
        </w:rPr>
      </w:pPr>
      <w:r w:rsidRPr="00621C66">
        <w:rPr>
          <w:bCs/>
          <w:lang w:val="en-US"/>
        </w:rPr>
        <w:t xml:space="preserve">Support for SCells applies to NR CA, </w:t>
      </w:r>
      <w:r w:rsidRPr="00351A96">
        <w:rPr>
          <w:lang w:val="en-US"/>
        </w:rPr>
        <w:t>based on RAN1 leading mechanisms</w:t>
      </w:r>
      <w:r w:rsidRPr="00621C66">
        <w:rPr>
          <w:bCs/>
          <w:lang w:val="en-US"/>
        </w:rPr>
        <w:t xml:space="preserve"> [RAN1, RAN2</w:t>
      </w:r>
      <w:r w:rsidRPr="00621C66">
        <w:rPr>
          <w:rFonts w:hint="eastAsia"/>
          <w:bCs/>
          <w:lang w:val="en-US"/>
        </w:rPr>
        <w:t>,</w:t>
      </w:r>
      <w:r w:rsidRPr="00621C66">
        <w:rPr>
          <w:bCs/>
          <w:lang w:val="en-US"/>
        </w:rPr>
        <w:t xml:space="preserve"> RAN4]</w:t>
      </w:r>
    </w:p>
    <w:p w14:paraId="084E1057" w14:textId="2EAA2E07" w:rsidR="00B52127" w:rsidRDefault="009A1C6B" w:rsidP="009E40BA">
      <w:pPr>
        <w:numPr>
          <w:ilvl w:val="0"/>
          <w:numId w:val="42"/>
        </w:numPr>
        <w:overflowPunct w:val="0"/>
        <w:autoSpaceDE w:val="0"/>
        <w:autoSpaceDN w:val="0"/>
        <w:adjustRightInd w:val="0"/>
        <w:spacing w:after="0" w:line="240" w:lineRule="auto"/>
        <w:jc w:val="both"/>
        <w:textAlignment w:val="baseline"/>
        <w:rPr>
          <w:lang w:val="en-US"/>
        </w:rPr>
      </w:pPr>
      <w:r w:rsidRPr="00621C66">
        <w:rPr>
          <w:bCs/>
          <w:lang w:val="en-US"/>
        </w:rPr>
        <w:t>This objective applies to FR1 and FR2</w:t>
      </w:r>
    </w:p>
    <w:p w14:paraId="03827615" w14:textId="140B15C0" w:rsidR="009A1C6B" w:rsidRDefault="009A1C6B" w:rsidP="009B7D5E">
      <w:pPr>
        <w:spacing w:before="240"/>
        <w:rPr>
          <w:lang w:val="en-US"/>
        </w:rPr>
      </w:pPr>
      <w:r>
        <w:rPr>
          <w:lang w:val="en-US"/>
        </w:rPr>
        <w:t>As reference, the following justification is given for the objective:</w:t>
      </w:r>
    </w:p>
    <w:p w14:paraId="56507777" w14:textId="334EA4C8" w:rsidR="009A1C6B" w:rsidRPr="00351A96" w:rsidRDefault="009A1C6B" w:rsidP="009A1C6B">
      <w:pPr>
        <w:spacing w:after="0"/>
        <w:ind w:left="432"/>
        <w:rPr>
          <w:bCs/>
          <w:lang w:val="en-US"/>
        </w:rPr>
      </w:pPr>
      <w:r>
        <w:rPr>
          <w:lang w:val="en-US"/>
        </w:rPr>
        <w:t>“</w:t>
      </w:r>
      <w:r w:rsidRPr="00351A96">
        <w:rPr>
          <w:bCs/>
          <w:lang w:val="en-US"/>
        </w:rPr>
        <w:t xml:space="preserve">In EN-DC, UE and network power consumption is a big issue, due to maintaining two radio links simultaneously. In some </w:t>
      </w:r>
      <w:r w:rsidR="009412A0" w:rsidRPr="00351A96">
        <w:rPr>
          <w:bCs/>
          <w:lang w:val="en-US"/>
        </w:rPr>
        <w:t>cases,</w:t>
      </w:r>
      <w:r w:rsidRPr="00351A96">
        <w:rPr>
          <w:bCs/>
          <w:lang w:val="en-US"/>
        </w:rPr>
        <w:t xml:space="preserve"> NR UE power consumption is 3 to 4 times higher than LTE. In EN-DC deployment, MN provides the basic coverage. When UE data rate requirement changes dynamically, e.g. from high to low, SN is worth considering to be (de)activated to save network and UE energy consumption. This issue has been discussed in Release 16 eDCCA WI and has significant support. But due to time limitation, it is not completed in Release 16. Therefore</w:t>
      </w:r>
      <w:r w:rsidR="009412A0" w:rsidRPr="00351A96">
        <w:rPr>
          <w:bCs/>
          <w:lang w:val="en-US"/>
        </w:rPr>
        <w:t>,</w:t>
      </w:r>
      <w:r w:rsidRPr="00351A96">
        <w:rPr>
          <w:bCs/>
          <w:lang w:val="en-US"/>
        </w:rPr>
        <w:t xml:space="preserve"> an efficient SCG (de)activation mechanism should be specified in Release 17. This efficient SCG (de)activation mechanism can also be applied to other MR-DC options.</w:t>
      </w:r>
      <w:r>
        <w:rPr>
          <w:lang w:val="en-US"/>
        </w:rPr>
        <w:t>”</w:t>
      </w:r>
    </w:p>
    <w:p w14:paraId="7A39171E" w14:textId="6B85535C" w:rsidR="00566F82" w:rsidRPr="00566F82" w:rsidRDefault="004000E8" w:rsidP="00566F82">
      <w:pPr>
        <w:pStyle w:val="Heading1"/>
      </w:pPr>
      <w:bookmarkStart w:id="1" w:name="_Ref178064866"/>
      <w:r w:rsidRPr="00CE0424">
        <w:t>Discussion</w:t>
      </w:r>
      <w:bookmarkEnd w:id="1"/>
    </w:p>
    <w:p w14:paraId="3699D181" w14:textId="2FEBABF0" w:rsidR="00B27FE0" w:rsidRDefault="00B27FE0" w:rsidP="00B27FE0">
      <w:pPr>
        <w:pStyle w:val="Heading2"/>
        <w:rPr>
          <w:lang w:val="en-US"/>
        </w:rPr>
      </w:pPr>
      <w:r>
        <w:rPr>
          <w:lang w:val="en-US"/>
        </w:rPr>
        <w:t>Rel-15 baseline</w:t>
      </w:r>
    </w:p>
    <w:p w14:paraId="0545889E" w14:textId="6D3A58C4" w:rsidR="00D90563" w:rsidRPr="00D90563" w:rsidRDefault="00D90563" w:rsidP="00D90563">
      <w:pPr>
        <w:rPr>
          <w:lang w:val="en-US" w:eastAsia="zh-CN"/>
        </w:rPr>
      </w:pPr>
      <w:r>
        <w:rPr>
          <w:lang w:val="en-US" w:eastAsia="zh-CN"/>
        </w:rPr>
        <w:t>Before starting the discussion on Rel-17 improvements, it is good to review the Rel-15 baseline for reducing UE and network power consumption caused by SCG.</w:t>
      </w:r>
    </w:p>
    <w:p w14:paraId="7F21DBF7" w14:textId="49BB78DE" w:rsidR="00B27FE0" w:rsidRDefault="00B27FE0" w:rsidP="00B27FE0">
      <w:pPr>
        <w:pStyle w:val="Heading3"/>
        <w:rPr>
          <w:lang w:val="en-US"/>
        </w:rPr>
      </w:pPr>
      <w:r>
        <w:rPr>
          <w:lang w:val="en-US"/>
        </w:rPr>
        <w:t>SCG release/addition</w:t>
      </w:r>
    </w:p>
    <w:p w14:paraId="01252480" w14:textId="6B6315D0" w:rsidR="004F671A" w:rsidRDefault="00B27FE0" w:rsidP="004F671A">
      <w:pPr>
        <w:pStyle w:val="BodyText"/>
        <w:rPr>
          <w:lang w:val="en-US"/>
        </w:rPr>
      </w:pPr>
      <w:r w:rsidRPr="00B27FE0">
        <w:rPr>
          <w:lang w:val="en-US" w:eastAsia="zh-CN"/>
        </w:rPr>
        <w:t xml:space="preserve">UE </w:t>
      </w:r>
      <w:r w:rsidR="005840E2">
        <w:rPr>
          <w:lang w:val="en-US" w:eastAsia="zh-CN"/>
        </w:rPr>
        <w:t xml:space="preserve">and network </w:t>
      </w:r>
      <w:r w:rsidRPr="00B27FE0">
        <w:rPr>
          <w:lang w:val="en-US" w:eastAsia="zh-CN"/>
        </w:rPr>
        <w:t xml:space="preserve">power consumption can be reduced by releasing </w:t>
      </w:r>
      <w:r w:rsidR="005840E2">
        <w:rPr>
          <w:lang w:val="en-US" w:eastAsia="zh-CN"/>
        </w:rPr>
        <w:t xml:space="preserve">the </w:t>
      </w:r>
      <w:r w:rsidRPr="00B27FE0">
        <w:rPr>
          <w:lang w:val="en-US" w:eastAsia="zh-CN"/>
        </w:rPr>
        <w:t>SCG</w:t>
      </w:r>
      <w:r w:rsidR="005840E2">
        <w:rPr>
          <w:lang w:val="en-US" w:eastAsia="zh-CN"/>
        </w:rPr>
        <w:t xml:space="preserve"> when it is not needed. However, adding the SCG back using the SCG addition procedure (see</w:t>
      </w:r>
      <w:r w:rsidR="00B300B9">
        <w:rPr>
          <w:lang w:val="en-US" w:eastAsia="zh-CN"/>
        </w:rPr>
        <w:t xml:space="preserve"> </w:t>
      </w:r>
      <w:r w:rsidR="00B300B9">
        <w:rPr>
          <w:lang w:val="en-US" w:eastAsia="zh-CN"/>
        </w:rPr>
        <w:fldChar w:fldCharType="begin"/>
      </w:r>
      <w:r w:rsidR="00B300B9">
        <w:rPr>
          <w:lang w:val="en-US" w:eastAsia="zh-CN"/>
        </w:rPr>
        <w:instrText xml:space="preserve"> REF _Ref47448340 \h </w:instrText>
      </w:r>
      <w:r w:rsidR="00B300B9">
        <w:rPr>
          <w:lang w:val="en-US" w:eastAsia="zh-CN"/>
        </w:rPr>
      </w:r>
      <w:r w:rsidR="00B300B9">
        <w:rPr>
          <w:lang w:val="en-US" w:eastAsia="zh-CN"/>
        </w:rPr>
        <w:fldChar w:fldCharType="separate"/>
      </w:r>
      <w:r w:rsidR="00B300B9" w:rsidRPr="008F0E3D">
        <w:rPr>
          <w:lang w:val="en-US"/>
        </w:rPr>
        <w:t>Figure 1</w:t>
      </w:r>
      <w:r w:rsidR="00B300B9">
        <w:rPr>
          <w:lang w:val="en-US" w:eastAsia="zh-CN"/>
        </w:rPr>
        <w:fldChar w:fldCharType="end"/>
      </w:r>
      <w:r w:rsidR="005840E2">
        <w:rPr>
          <w:lang w:val="en-US" w:eastAsia="zh-CN"/>
        </w:rPr>
        <w:t>) is a time consuming operation</w:t>
      </w:r>
      <w:r w:rsidR="004F671A">
        <w:rPr>
          <w:lang w:val="en-US" w:eastAsia="zh-CN"/>
        </w:rPr>
        <w:t xml:space="preserve">. </w:t>
      </w:r>
      <w:r w:rsidR="004F671A">
        <w:rPr>
          <w:lang w:val="en-US"/>
        </w:rPr>
        <w:t xml:space="preserve">RAN4 has defined the requirement on </w:t>
      </w:r>
      <w:r w:rsidR="004F671A" w:rsidRPr="00D60681">
        <w:rPr>
          <w:lang w:val="en-US"/>
        </w:rPr>
        <w:t xml:space="preserve">PSCell Addition Delay </w:t>
      </w:r>
      <w:r w:rsidR="004F671A">
        <w:rPr>
          <w:lang w:val="en-US"/>
        </w:rPr>
        <w:t xml:space="preserve">in </w:t>
      </w:r>
      <w:r w:rsidR="004F671A">
        <w:rPr>
          <w:lang w:val="en-US"/>
        </w:rPr>
        <w:fldChar w:fldCharType="begin"/>
      </w:r>
      <w:r w:rsidR="004F671A">
        <w:rPr>
          <w:lang w:val="en-US"/>
        </w:rPr>
        <w:instrText xml:space="preserve"> REF _Ref47543263 \n \h </w:instrText>
      </w:r>
      <w:r w:rsidR="004F671A">
        <w:rPr>
          <w:lang w:val="en-US"/>
        </w:rPr>
      </w:r>
      <w:r w:rsidR="004F671A">
        <w:rPr>
          <w:lang w:val="en-US"/>
        </w:rPr>
        <w:fldChar w:fldCharType="separate"/>
      </w:r>
      <w:r w:rsidR="004F671A">
        <w:rPr>
          <w:lang w:val="en-US"/>
        </w:rPr>
        <w:t>[12]</w:t>
      </w:r>
      <w:r w:rsidR="004F671A">
        <w:rPr>
          <w:lang w:val="en-US"/>
        </w:rPr>
        <w:fldChar w:fldCharType="end"/>
      </w:r>
      <w:r w:rsidR="004F671A">
        <w:rPr>
          <w:lang w:val="en-US"/>
        </w:rPr>
        <w:t xml:space="preserve"> as follows:</w:t>
      </w:r>
    </w:p>
    <w:p w14:paraId="08F5EB31" w14:textId="77777777" w:rsidR="004F671A" w:rsidRPr="007824D9" w:rsidRDefault="004F671A" w:rsidP="004F671A">
      <w:pPr>
        <w:ind w:left="568" w:hanging="284"/>
        <w:rPr>
          <w:lang w:val="en-US"/>
        </w:rPr>
      </w:pPr>
      <w:r w:rsidRPr="007824D9">
        <w:rPr>
          <w:lang w:val="en-US"/>
        </w:rPr>
        <w:t>T</w:t>
      </w:r>
      <w:r w:rsidRPr="007824D9">
        <w:rPr>
          <w:vertAlign w:val="subscript"/>
          <w:lang w:val="en-US"/>
        </w:rPr>
        <w:t>config_PSCell</w:t>
      </w:r>
      <w:r w:rsidRPr="007824D9">
        <w:rPr>
          <w:lang w:val="en-US"/>
        </w:rPr>
        <w:t xml:space="preserve"> = T</w:t>
      </w:r>
      <w:r w:rsidRPr="007824D9">
        <w:rPr>
          <w:vertAlign w:val="subscript"/>
          <w:lang w:val="en-US"/>
        </w:rPr>
        <w:t>RRC_delay</w:t>
      </w:r>
      <w:r w:rsidRPr="007824D9">
        <w:rPr>
          <w:lang w:val="en-US"/>
        </w:rPr>
        <w:t xml:space="preserve"> + T</w:t>
      </w:r>
      <w:r w:rsidRPr="007824D9">
        <w:rPr>
          <w:vertAlign w:val="subscript"/>
          <w:lang w:val="en-US"/>
        </w:rPr>
        <w:t>processing</w:t>
      </w:r>
      <w:r w:rsidRPr="007824D9">
        <w:rPr>
          <w:lang w:val="en-US"/>
        </w:rPr>
        <w:t xml:space="preserve"> + T</w:t>
      </w:r>
      <w:r w:rsidRPr="007824D9">
        <w:rPr>
          <w:vertAlign w:val="subscript"/>
          <w:lang w:val="en-US"/>
        </w:rPr>
        <w:t>search</w:t>
      </w:r>
      <w:r w:rsidRPr="007824D9">
        <w:rPr>
          <w:lang w:val="en-US"/>
        </w:rPr>
        <w:t xml:space="preserve"> + T</w:t>
      </w:r>
      <w:r w:rsidRPr="007824D9">
        <w:rPr>
          <w:vertAlign w:val="subscript"/>
          <w:lang w:val="en-US"/>
        </w:rPr>
        <w:t>∆</w:t>
      </w:r>
      <w:r w:rsidRPr="007824D9">
        <w:rPr>
          <w:lang w:val="en-US"/>
        </w:rPr>
        <w:t xml:space="preserve"> + T</w:t>
      </w:r>
      <w:r w:rsidRPr="007824D9">
        <w:rPr>
          <w:vertAlign w:val="subscript"/>
          <w:lang w:val="en-US"/>
        </w:rPr>
        <w:t>PSCell_ DU</w:t>
      </w:r>
      <w:r w:rsidRPr="007824D9">
        <w:rPr>
          <w:lang w:val="en-US"/>
        </w:rPr>
        <w:t xml:space="preserve"> + 2 ms </w:t>
      </w:r>
    </w:p>
    <w:p w14:paraId="5D4C5C1D" w14:textId="77777777" w:rsidR="004F671A" w:rsidRPr="007824D9" w:rsidRDefault="004F671A" w:rsidP="004F671A">
      <w:pPr>
        <w:ind w:left="568" w:hanging="284"/>
        <w:rPr>
          <w:lang w:val="en-US"/>
        </w:rPr>
      </w:pPr>
      <w:r w:rsidRPr="007824D9">
        <w:rPr>
          <w:lang w:val="en-US"/>
        </w:rPr>
        <w:t>where</w:t>
      </w:r>
    </w:p>
    <w:p w14:paraId="5576BB68" w14:textId="38677BFF" w:rsidR="004F671A" w:rsidRPr="007824D9" w:rsidRDefault="004F671A" w:rsidP="004F671A">
      <w:pPr>
        <w:spacing w:after="0"/>
        <w:ind w:left="568" w:hanging="284"/>
        <w:rPr>
          <w:lang w:val="en-US"/>
        </w:rPr>
      </w:pPr>
      <w:r w:rsidRPr="007824D9">
        <w:rPr>
          <w:lang w:val="en-US"/>
        </w:rPr>
        <w:tab/>
        <w:t>T</w:t>
      </w:r>
      <w:r w:rsidRPr="007824D9">
        <w:rPr>
          <w:vertAlign w:val="subscript"/>
          <w:lang w:val="en-US"/>
        </w:rPr>
        <w:t>RRC_delay</w:t>
      </w:r>
      <w:r w:rsidRPr="007824D9">
        <w:rPr>
          <w:lang w:val="en-US"/>
        </w:rPr>
        <w:t xml:space="preserve"> is the RRC procedure delay</w:t>
      </w:r>
      <w:r w:rsidR="007824D9">
        <w:rPr>
          <w:lang w:val="en-US"/>
        </w:rPr>
        <w:t xml:space="preserve">. SCG addition </w:t>
      </w:r>
      <w:r w:rsidR="007824D9" w:rsidRPr="007824D9">
        <w:rPr>
          <w:lang w:val="en-US"/>
        </w:rPr>
        <w:t>T</w:t>
      </w:r>
      <w:r w:rsidR="007824D9" w:rsidRPr="007824D9">
        <w:rPr>
          <w:vertAlign w:val="subscript"/>
          <w:lang w:val="en-US"/>
        </w:rPr>
        <w:t>RRC_delay</w:t>
      </w:r>
      <w:r w:rsidR="007824D9" w:rsidRPr="007824D9">
        <w:rPr>
          <w:lang w:val="en-US"/>
        </w:rPr>
        <w:t xml:space="preserve"> </w:t>
      </w:r>
      <w:r w:rsidR="007824D9">
        <w:rPr>
          <w:lang w:val="en-US"/>
        </w:rPr>
        <w:t>= 16 ms</w:t>
      </w:r>
      <w:r w:rsidRPr="007824D9">
        <w:rPr>
          <w:lang w:val="en-US"/>
        </w:rPr>
        <w:t>.</w:t>
      </w:r>
    </w:p>
    <w:p w14:paraId="47007878" w14:textId="77777777" w:rsidR="004F671A" w:rsidRPr="007824D9" w:rsidRDefault="004F671A" w:rsidP="004F671A">
      <w:pPr>
        <w:spacing w:after="0"/>
        <w:ind w:left="568" w:hanging="284"/>
        <w:rPr>
          <w:lang w:val="en-US"/>
        </w:rPr>
      </w:pPr>
      <w:r w:rsidRPr="007824D9">
        <w:rPr>
          <w:lang w:val="en-US"/>
        </w:rPr>
        <w:lastRenderedPageBreak/>
        <w:tab/>
        <w:t>T</w:t>
      </w:r>
      <w:r w:rsidRPr="007824D9">
        <w:rPr>
          <w:vertAlign w:val="subscript"/>
          <w:lang w:val="en-US"/>
        </w:rPr>
        <w:t>processing</w:t>
      </w:r>
      <w:r w:rsidRPr="007824D9">
        <w:rPr>
          <w:lang w:val="en-US"/>
        </w:rPr>
        <w:t xml:space="preserve"> is the SW processing time needed by UE, including RF warm up period. T</w:t>
      </w:r>
      <w:r w:rsidRPr="007824D9">
        <w:rPr>
          <w:vertAlign w:val="subscript"/>
          <w:lang w:val="en-US"/>
        </w:rPr>
        <w:t>processing</w:t>
      </w:r>
      <w:r w:rsidRPr="007824D9">
        <w:rPr>
          <w:lang w:val="en-US"/>
        </w:rPr>
        <w:t xml:space="preserve"> = 40 ms.</w:t>
      </w:r>
    </w:p>
    <w:p w14:paraId="781A7ED0" w14:textId="2B1190FF" w:rsidR="004F671A" w:rsidRPr="00CE1D32" w:rsidRDefault="004F671A" w:rsidP="004F671A">
      <w:pPr>
        <w:spacing w:after="0"/>
        <w:ind w:left="568" w:hanging="284"/>
        <w:rPr>
          <w:lang w:val="en-US"/>
        </w:rPr>
      </w:pPr>
      <w:r w:rsidRPr="007824D9">
        <w:rPr>
          <w:lang w:val="en-US"/>
        </w:rPr>
        <w:tab/>
        <w:t>T</w:t>
      </w:r>
      <w:r w:rsidRPr="007824D9">
        <w:rPr>
          <w:vertAlign w:val="subscript"/>
          <w:lang w:val="en-US"/>
        </w:rPr>
        <w:t>search</w:t>
      </w:r>
      <w:r w:rsidRPr="007824D9">
        <w:rPr>
          <w:lang w:val="en-US"/>
        </w:rPr>
        <w:t xml:space="preserve"> is the time for AGC settling </w:t>
      </w:r>
      <w:r w:rsidRPr="00CE1D32">
        <w:rPr>
          <w:lang w:val="en-US"/>
        </w:rPr>
        <w:t>and PSS/SSS detection.</w:t>
      </w:r>
      <w:r w:rsidRPr="00CE1D32" w:rsidDel="00296FFD">
        <w:rPr>
          <w:lang w:val="en-US"/>
        </w:rPr>
        <w:t xml:space="preserve"> </w:t>
      </w:r>
      <w:r w:rsidRPr="00CE1D32" w:rsidDel="00296FFD">
        <w:rPr>
          <w:lang w:val="en-US"/>
        </w:rPr>
        <w:tab/>
      </w:r>
      <w:r w:rsidRPr="00CE1D32">
        <w:rPr>
          <w:lang w:val="en-US" w:eastAsia="ko-KR"/>
        </w:rPr>
        <w:t xml:space="preserve">If the target cell is known, </w:t>
      </w:r>
      <w:r w:rsidRPr="00CE1D32">
        <w:rPr>
          <w:rFonts w:eastAsia="Calibri"/>
          <w:lang w:val="en-US"/>
        </w:rPr>
        <w:t>T</w:t>
      </w:r>
      <w:r w:rsidRPr="00CE1D32">
        <w:rPr>
          <w:rFonts w:eastAsia="Calibri"/>
          <w:vertAlign w:val="subscript"/>
          <w:lang w:val="en-US"/>
        </w:rPr>
        <w:t>search</w:t>
      </w:r>
      <w:r w:rsidRPr="00CE1D32">
        <w:rPr>
          <w:rFonts w:eastAsia="Calibri"/>
          <w:lang w:val="en-US"/>
        </w:rPr>
        <w:t xml:space="preserve"> = 0 ms.</w:t>
      </w:r>
      <w:r w:rsidRPr="00CE1D32">
        <w:rPr>
          <w:lang w:val="en-US" w:eastAsia="ko-KR"/>
        </w:rPr>
        <w:t xml:space="preserve"> </w:t>
      </w:r>
      <w:r w:rsidRPr="00CE1D32">
        <w:rPr>
          <w:rFonts w:eastAsia="Calibri"/>
          <w:lang w:val="en-US"/>
        </w:rPr>
        <w:t xml:space="preserve">If the target cell is unknown, provided that the side condition </w:t>
      </w:r>
      <w:r w:rsidRPr="00CE1D32">
        <w:rPr>
          <w:rFonts w:cs="v4.2.0"/>
          <w:lang w:val="en-US"/>
        </w:rPr>
        <w:t xml:space="preserve">Ês/Iot </w:t>
      </w:r>
      <w:r w:rsidRPr="00CE1D32">
        <w:rPr>
          <w:lang w:val="en-US"/>
        </w:rPr>
        <w:t xml:space="preserve">≥ </w:t>
      </w:r>
      <w:r w:rsidRPr="00CE1D32">
        <w:rPr>
          <w:rFonts w:cs="v4.2.0"/>
          <w:lang w:val="en-US"/>
        </w:rPr>
        <w:t>[-2]dB is fulfilled</w:t>
      </w:r>
      <w:r w:rsidRPr="00CE1D32">
        <w:rPr>
          <w:lang w:val="en-US" w:eastAsia="ko-KR"/>
        </w:rPr>
        <w:t>, T</w:t>
      </w:r>
      <w:r w:rsidRPr="00CE1D32">
        <w:rPr>
          <w:vertAlign w:val="subscript"/>
          <w:lang w:val="en-US" w:eastAsia="ko-KR"/>
        </w:rPr>
        <w:t>search</w:t>
      </w:r>
      <w:r w:rsidRPr="00CE1D32">
        <w:rPr>
          <w:lang w:val="en-US" w:eastAsia="ko-KR"/>
        </w:rPr>
        <w:t xml:space="preserve"> = </w:t>
      </w:r>
      <w:r w:rsidRPr="00CE1D32">
        <w:rPr>
          <w:lang w:val="en-US" w:eastAsia="zh-CN"/>
        </w:rPr>
        <w:t>24</w:t>
      </w:r>
      <w:r w:rsidRPr="00CE1D32">
        <w:rPr>
          <w:lang w:val="en-US" w:eastAsia="ko-KR"/>
        </w:rPr>
        <w:t>*</w:t>
      </w:r>
      <w:r w:rsidRPr="00CE1D32">
        <w:rPr>
          <w:rFonts w:cs="v4.2.0"/>
          <w:lang w:val="en-US" w:eastAsia="zh-CN"/>
        </w:rPr>
        <w:t xml:space="preserve"> Trs</w:t>
      </w:r>
      <w:r w:rsidRPr="00CE1D32">
        <w:rPr>
          <w:lang w:val="en-US" w:eastAsia="ko-KR"/>
        </w:rPr>
        <w:t xml:space="preserve"> ms.</w:t>
      </w:r>
    </w:p>
    <w:p w14:paraId="2B7FEEFE" w14:textId="77777777" w:rsidR="004F671A" w:rsidRPr="005F523D" w:rsidRDefault="004F671A" w:rsidP="004F671A">
      <w:pPr>
        <w:spacing w:after="0"/>
        <w:ind w:left="567"/>
        <w:rPr>
          <w:lang w:val="en-US"/>
        </w:rPr>
      </w:pPr>
      <w:r w:rsidRPr="005F523D">
        <w:rPr>
          <w:lang w:val="en-US"/>
        </w:rPr>
        <w:t>T</w:t>
      </w:r>
      <w:r w:rsidRPr="005F523D">
        <w:rPr>
          <w:vertAlign w:val="subscript"/>
          <w:lang w:val="en-US"/>
        </w:rPr>
        <w:t>∆</w:t>
      </w:r>
      <w:r w:rsidRPr="005F523D">
        <w:rPr>
          <w:lang w:val="en-US"/>
        </w:rPr>
        <w:t xml:space="preserve"> is time for fine time tracking and acquiring full timing information of the target cell. T</w:t>
      </w:r>
      <w:r w:rsidRPr="005F523D">
        <w:rPr>
          <w:vertAlign w:val="subscript"/>
          <w:lang w:val="en-US"/>
        </w:rPr>
        <w:t>∆</w:t>
      </w:r>
      <w:r w:rsidRPr="005F523D">
        <w:rPr>
          <w:lang w:val="en-US"/>
        </w:rPr>
        <w:t xml:space="preserve"> = 1</w:t>
      </w:r>
      <w:r w:rsidRPr="005F523D">
        <w:rPr>
          <w:lang w:val="en-US" w:eastAsia="fr-FR"/>
        </w:rPr>
        <w:t>*</w:t>
      </w:r>
      <w:r w:rsidRPr="005F523D">
        <w:rPr>
          <w:rFonts w:cs="v4.2.0"/>
          <w:lang w:val="en-US" w:eastAsia="zh-CN"/>
        </w:rPr>
        <w:t>Trs</w:t>
      </w:r>
      <w:r w:rsidRPr="005F523D">
        <w:rPr>
          <w:lang w:val="en-US"/>
        </w:rPr>
        <w:t xml:space="preserve"> ms for a known and for an unknown PSCell.</w:t>
      </w:r>
    </w:p>
    <w:p w14:paraId="660062CF" w14:textId="77777777" w:rsidR="004F671A" w:rsidRPr="005F523D" w:rsidRDefault="004F671A" w:rsidP="004F671A">
      <w:pPr>
        <w:spacing w:after="240"/>
        <w:ind w:left="568" w:hanging="284"/>
        <w:rPr>
          <w:lang w:val="en-US"/>
        </w:rPr>
      </w:pPr>
      <w:r w:rsidRPr="005F523D">
        <w:rPr>
          <w:lang w:val="en-US"/>
        </w:rPr>
        <w:tab/>
        <w:t>T</w:t>
      </w:r>
      <w:r w:rsidRPr="005F523D">
        <w:rPr>
          <w:vertAlign w:val="subscript"/>
          <w:lang w:val="en-US"/>
        </w:rPr>
        <w:t>PSCell_ DU</w:t>
      </w:r>
      <w:r w:rsidRPr="005F523D">
        <w:rPr>
          <w:lang w:val="en-US"/>
        </w:rPr>
        <w:t xml:space="preserve"> is the delay uncertainty in acquiring the first available PRACH occasion in the PSCell. T</w:t>
      </w:r>
      <w:r w:rsidRPr="005F523D">
        <w:rPr>
          <w:vertAlign w:val="subscript"/>
          <w:lang w:val="en-US"/>
        </w:rPr>
        <w:t>PSCell_ DU</w:t>
      </w:r>
      <w:r w:rsidRPr="005F523D">
        <w:rPr>
          <w:lang w:val="en-US"/>
        </w:rPr>
        <w:t xml:space="preserve"> is up to the summation of SSB to PRACH occasion association period and 10 ms. SSB to PRACH occasion associated period is defined in Table 8.1-1 of TS 38.213 [3].</w:t>
      </w:r>
    </w:p>
    <w:p w14:paraId="3818AA93" w14:textId="3FA02931" w:rsidR="00B27FE0" w:rsidRDefault="004F671A" w:rsidP="005840E2">
      <w:pPr>
        <w:rPr>
          <w:lang w:val="en-US" w:eastAsia="zh-CN"/>
        </w:rPr>
      </w:pPr>
      <w:r>
        <w:rPr>
          <w:lang w:val="en-US"/>
        </w:rPr>
        <w:t xml:space="preserve">In total, </w:t>
      </w:r>
      <w:r>
        <w:rPr>
          <w:lang w:val="en-US" w:eastAsia="zh-CN"/>
        </w:rPr>
        <w:t>the full procedure</w:t>
      </w:r>
      <w:r w:rsidR="005840E2">
        <w:rPr>
          <w:lang w:val="en-US" w:eastAsia="zh-CN"/>
        </w:rPr>
        <w:t xml:space="preserve"> can take </w:t>
      </w:r>
      <w:r w:rsidR="0040497D">
        <w:rPr>
          <w:lang w:val="en-US" w:eastAsia="zh-CN"/>
        </w:rPr>
        <w:t>around 100-</w:t>
      </w:r>
      <w:r w:rsidR="005840E2">
        <w:rPr>
          <w:lang w:val="en-US" w:eastAsia="zh-CN"/>
        </w:rPr>
        <w:t xml:space="preserve">300ms, depending </w:t>
      </w:r>
      <w:r w:rsidR="00B300B9">
        <w:rPr>
          <w:lang w:val="en-US" w:eastAsia="zh-CN"/>
        </w:rPr>
        <w:t xml:space="preserve">a bit </w:t>
      </w:r>
      <w:r w:rsidR="005840E2">
        <w:rPr>
          <w:lang w:val="en-US" w:eastAsia="zh-CN"/>
        </w:rPr>
        <w:t>on network implementation</w:t>
      </w:r>
      <w:r w:rsidR="00B300B9">
        <w:rPr>
          <w:lang w:val="en-US" w:eastAsia="zh-CN"/>
        </w:rPr>
        <w:t>,</w:t>
      </w:r>
      <w:r w:rsidR="005840E2">
        <w:rPr>
          <w:lang w:val="en-US" w:eastAsia="zh-CN"/>
        </w:rPr>
        <w:t xml:space="preserve"> </w:t>
      </w:r>
      <w:r w:rsidR="00B300B9">
        <w:rPr>
          <w:lang w:val="en-US" w:eastAsia="zh-CN"/>
        </w:rPr>
        <w:t xml:space="preserve">PSCell </w:t>
      </w:r>
      <w:r w:rsidR="005840E2">
        <w:rPr>
          <w:lang w:val="en-US" w:eastAsia="zh-CN"/>
        </w:rPr>
        <w:t xml:space="preserve"> SSB periodicity</w:t>
      </w:r>
      <w:r w:rsidR="00B300B9">
        <w:rPr>
          <w:lang w:val="en-US" w:eastAsia="zh-CN"/>
        </w:rPr>
        <w:t>, whether PSCell is known and whether measurement information is available or not</w:t>
      </w:r>
      <w:r w:rsidR="005840E2">
        <w:rPr>
          <w:lang w:val="en-US" w:eastAsia="zh-CN"/>
        </w:rPr>
        <w:t xml:space="preserve">. </w:t>
      </w:r>
    </w:p>
    <w:p w14:paraId="38A7E97C" w14:textId="77777777" w:rsidR="004F671A" w:rsidRPr="00CE1D32" w:rsidRDefault="004F671A" w:rsidP="005840E2">
      <w:pPr>
        <w:rPr>
          <w:lang w:val="en-US" w:eastAsia="zh-CN"/>
        </w:rPr>
      </w:pPr>
    </w:p>
    <w:p w14:paraId="40478281" w14:textId="2C607BCF" w:rsidR="00927CDC" w:rsidRDefault="00927CDC" w:rsidP="00927CDC">
      <w:pPr>
        <w:ind w:left="1080"/>
        <w:jc w:val="center"/>
        <w:rPr>
          <w:lang w:eastAsia="zh-CN"/>
        </w:rPr>
      </w:pPr>
      <w:r w:rsidRPr="00927CDC">
        <w:rPr>
          <w:noProof/>
        </w:rPr>
        <w:drawing>
          <wp:inline distT="0" distB="0" distL="0" distR="0" wp14:anchorId="4D418058" wp14:editId="348A1EC5">
            <wp:extent cx="4810125" cy="2786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4274" cy="2794766"/>
                    </a:xfrm>
                    <a:prstGeom prst="rect">
                      <a:avLst/>
                    </a:prstGeom>
                    <a:noFill/>
                    <a:ln>
                      <a:noFill/>
                    </a:ln>
                  </pic:spPr>
                </pic:pic>
              </a:graphicData>
            </a:graphic>
          </wp:inline>
        </w:drawing>
      </w:r>
    </w:p>
    <w:p w14:paraId="0C7A7192" w14:textId="5EAE826D" w:rsidR="00927CDC" w:rsidRPr="00B27FE0" w:rsidRDefault="005840E2" w:rsidP="005840E2">
      <w:pPr>
        <w:pStyle w:val="Caption"/>
        <w:rPr>
          <w:lang w:eastAsia="zh-CN"/>
        </w:rPr>
      </w:pPr>
      <w:bookmarkStart w:id="2" w:name="_Ref47448340"/>
      <w:r>
        <w:t xml:space="preserve">Figure </w:t>
      </w:r>
      <w:r w:rsidR="00352727">
        <w:fldChar w:fldCharType="begin"/>
      </w:r>
      <w:r w:rsidR="00352727">
        <w:instrText xml:space="preserve"> SEQ Figure \* ARABIC </w:instrText>
      </w:r>
      <w:r w:rsidR="00352727">
        <w:fldChar w:fldCharType="separate"/>
      </w:r>
      <w:r w:rsidR="005E0965">
        <w:rPr>
          <w:noProof/>
        </w:rPr>
        <w:t>1</w:t>
      </w:r>
      <w:r w:rsidR="00352727">
        <w:rPr>
          <w:noProof/>
        </w:rPr>
        <w:fldChar w:fldCharType="end"/>
      </w:r>
      <w:bookmarkEnd w:id="2"/>
      <w:r w:rsidR="00927CDC">
        <w:rPr>
          <w:lang w:eastAsia="zh-CN"/>
        </w:rPr>
        <w:t>: SCG addition</w:t>
      </w:r>
      <w:r>
        <w:rPr>
          <w:lang w:eastAsia="zh-CN"/>
        </w:rPr>
        <w:t xml:space="preserve"> procedure</w:t>
      </w:r>
    </w:p>
    <w:p w14:paraId="789428C9" w14:textId="2D44A3D1" w:rsidR="00B27FE0" w:rsidRDefault="00B27FE0" w:rsidP="00B27FE0">
      <w:pPr>
        <w:pStyle w:val="Heading3"/>
        <w:rPr>
          <w:lang w:val="en-US"/>
        </w:rPr>
      </w:pPr>
      <w:r>
        <w:rPr>
          <w:lang w:val="en-US"/>
        </w:rPr>
        <w:t>SCG DRX</w:t>
      </w:r>
    </w:p>
    <w:p w14:paraId="3D4D4A0A" w14:textId="0377A113" w:rsidR="00B27FE0" w:rsidRPr="008F0E3D" w:rsidRDefault="00B27FE0" w:rsidP="00B300B9">
      <w:pPr>
        <w:rPr>
          <w:lang w:val="en-US" w:eastAsia="zh-CN"/>
        </w:rPr>
      </w:pPr>
      <w:r w:rsidRPr="00B27FE0">
        <w:rPr>
          <w:lang w:val="en-US" w:eastAsia="zh-CN"/>
        </w:rPr>
        <w:t xml:space="preserve">UE </w:t>
      </w:r>
      <w:r w:rsidR="005840E2">
        <w:rPr>
          <w:lang w:val="en-US" w:eastAsia="zh-CN"/>
        </w:rPr>
        <w:t xml:space="preserve">and network </w:t>
      </w:r>
      <w:r w:rsidRPr="00B27FE0">
        <w:rPr>
          <w:lang w:val="en-US" w:eastAsia="zh-CN"/>
        </w:rPr>
        <w:t xml:space="preserve">power consumption can </w:t>
      </w:r>
      <w:r w:rsidR="005840E2">
        <w:rPr>
          <w:lang w:val="en-US" w:eastAsia="zh-CN"/>
        </w:rPr>
        <w:t xml:space="preserve">also </w:t>
      </w:r>
      <w:r w:rsidRPr="00B27FE0">
        <w:rPr>
          <w:lang w:val="en-US" w:eastAsia="zh-CN"/>
        </w:rPr>
        <w:t xml:space="preserve">be reduced </w:t>
      </w:r>
      <w:r w:rsidR="008E1D5C">
        <w:rPr>
          <w:lang w:val="en-US" w:eastAsia="zh-CN"/>
        </w:rPr>
        <w:t xml:space="preserve">without necessarily releasing the SCG (and adding when needed), but </w:t>
      </w:r>
      <w:r w:rsidR="005840E2">
        <w:rPr>
          <w:lang w:val="en-US" w:eastAsia="zh-CN"/>
        </w:rPr>
        <w:t xml:space="preserve">by configuring long </w:t>
      </w:r>
      <w:r w:rsidRPr="00B27FE0">
        <w:rPr>
          <w:lang w:val="en-US" w:eastAsia="zh-CN"/>
        </w:rPr>
        <w:t>DRX</w:t>
      </w:r>
      <w:r w:rsidR="005840E2">
        <w:rPr>
          <w:lang w:val="en-US" w:eastAsia="zh-CN"/>
        </w:rPr>
        <w:t xml:space="preserve"> in the SCG. </w:t>
      </w:r>
      <w:r w:rsidR="00B300B9">
        <w:rPr>
          <w:lang w:val="en-US" w:eastAsia="zh-CN"/>
        </w:rPr>
        <w:t xml:space="preserve">Same as for the SCG release/addition case there is also here a </w:t>
      </w:r>
      <w:r w:rsidRPr="00B27FE0">
        <w:rPr>
          <w:lang w:val="en-US" w:eastAsia="zh-CN"/>
        </w:rPr>
        <w:t xml:space="preserve">trade-off between power saving and </w:t>
      </w:r>
      <w:r w:rsidR="00B300B9">
        <w:rPr>
          <w:lang w:val="en-US" w:eastAsia="zh-CN"/>
        </w:rPr>
        <w:t xml:space="preserve">latency to reactivate the SCG. In the DRX case, latency depends on the </w:t>
      </w:r>
      <w:r w:rsidRPr="00B27FE0">
        <w:rPr>
          <w:lang w:val="en-US" w:eastAsia="zh-CN"/>
        </w:rPr>
        <w:t>mean delay until</w:t>
      </w:r>
      <w:r w:rsidR="00B300B9">
        <w:rPr>
          <w:lang w:val="en-US" w:eastAsia="zh-CN"/>
        </w:rPr>
        <w:t xml:space="preserve"> next</w:t>
      </w:r>
      <w:r w:rsidRPr="00B27FE0">
        <w:rPr>
          <w:lang w:val="en-US" w:eastAsia="zh-CN"/>
        </w:rPr>
        <w:t xml:space="preserve"> ON duration</w:t>
      </w:r>
      <w:r w:rsidR="00B300B9">
        <w:rPr>
          <w:lang w:val="en-US" w:eastAsia="zh-CN"/>
        </w:rPr>
        <w:t xml:space="preserve">, for DL initiated traffic, see </w:t>
      </w:r>
      <w:r w:rsidR="00B300B9">
        <w:rPr>
          <w:lang w:val="en-US" w:eastAsia="zh-CN"/>
        </w:rPr>
        <w:fldChar w:fldCharType="begin"/>
      </w:r>
      <w:r w:rsidR="00B300B9">
        <w:rPr>
          <w:lang w:val="en-US" w:eastAsia="zh-CN"/>
        </w:rPr>
        <w:instrText xml:space="preserve"> REF _Ref47448320 \h </w:instrText>
      </w:r>
      <w:r w:rsidR="00B300B9">
        <w:rPr>
          <w:lang w:val="en-US" w:eastAsia="zh-CN"/>
        </w:rPr>
      </w:r>
      <w:r w:rsidR="00B300B9">
        <w:rPr>
          <w:lang w:val="en-US" w:eastAsia="zh-CN"/>
        </w:rPr>
        <w:fldChar w:fldCharType="separate"/>
      </w:r>
      <w:r w:rsidR="00B300B9" w:rsidRPr="008F0E3D">
        <w:rPr>
          <w:lang w:val="en-US"/>
        </w:rPr>
        <w:t>Figure 2</w:t>
      </w:r>
      <w:r w:rsidR="00B300B9">
        <w:rPr>
          <w:lang w:val="en-US" w:eastAsia="zh-CN"/>
        </w:rPr>
        <w:fldChar w:fldCharType="end"/>
      </w:r>
      <w:r w:rsidR="00B300B9">
        <w:rPr>
          <w:lang w:val="en-US" w:eastAsia="zh-CN"/>
        </w:rPr>
        <w:t xml:space="preserve">. </w:t>
      </w:r>
      <w:r w:rsidRPr="00B27FE0">
        <w:rPr>
          <w:lang w:val="en-US" w:eastAsia="zh-CN"/>
        </w:rPr>
        <w:t>For long DRX</w:t>
      </w:r>
      <w:r w:rsidR="00B300B9">
        <w:rPr>
          <w:lang w:val="en-US" w:eastAsia="zh-CN"/>
        </w:rPr>
        <w:t xml:space="preserve">, </w:t>
      </w:r>
      <w:r w:rsidRPr="00B27FE0">
        <w:rPr>
          <w:lang w:val="en-US" w:eastAsia="zh-CN"/>
        </w:rPr>
        <w:t xml:space="preserve">that delay may be </w:t>
      </w:r>
      <w:r w:rsidR="001E3055">
        <w:rPr>
          <w:lang w:val="en-US" w:eastAsia="zh-CN"/>
        </w:rPr>
        <w:t xml:space="preserve">significantly </w:t>
      </w:r>
      <w:r w:rsidRPr="00B27FE0">
        <w:rPr>
          <w:lang w:val="en-US" w:eastAsia="zh-CN"/>
        </w:rPr>
        <w:t>larger than that of SCG addition</w:t>
      </w:r>
      <w:r w:rsidR="00B300B9">
        <w:rPr>
          <w:lang w:val="en-US" w:eastAsia="zh-CN"/>
        </w:rPr>
        <w:t>.</w:t>
      </w:r>
    </w:p>
    <w:p w14:paraId="0DAC1BE3" w14:textId="77777777" w:rsidR="00927CDC" w:rsidRPr="00F6772A" w:rsidRDefault="00927CDC" w:rsidP="00927CDC">
      <w:pPr>
        <w:pStyle w:val="TH"/>
        <w:ind w:left="360"/>
      </w:pPr>
      <w:r w:rsidRPr="00F6772A">
        <w:rPr>
          <w:noProof/>
        </w:rPr>
        <w:object w:dxaOrig="7620" w:dyaOrig="2151" w14:anchorId="24C3F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25pt" o:ole="">
            <v:imagedata r:id="rId12" o:title=""/>
          </v:shape>
          <o:OLEObject Type="Embed" ProgID="Visio.Drawing.11" ShapeID="_x0000_i1025" DrawAspect="Content" ObjectID="_1658251350" r:id="rId13"/>
        </w:object>
      </w:r>
    </w:p>
    <w:p w14:paraId="5B52998F" w14:textId="6EED8C9D" w:rsidR="00927CDC" w:rsidRPr="00B27FE0" w:rsidRDefault="00B300B9" w:rsidP="00B300B9">
      <w:pPr>
        <w:pStyle w:val="Caption"/>
        <w:rPr>
          <w:lang w:eastAsia="zh-CN"/>
        </w:rPr>
      </w:pPr>
      <w:bookmarkStart w:id="3" w:name="_Ref47448320"/>
      <w:r>
        <w:t xml:space="preserve">Figure </w:t>
      </w:r>
      <w:r w:rsidR="00352727">
        <w:fldChar w:fldCharType="begin"/>
      </w:r>
      <w:r w:rsidR="00352727">
        <w:instrText xml:space="preserve"> SEQ Figure \* ARABIC </w:instrText>
      </w:r>
      <w:r w:rsidR="00352727">
        <w:fldChar w:fldCharType="separate"/>
      </w:r>
      <w:r w:rsidR="005E0965">
        <w:rPr>
          <w:noProof/>
        </w:rPr>
        <w:t>2</w:t>
      </w:r>
      <w:r w:rsidR="00352727">
        <w:rPr>
          <w:noProof/>
        </w:rPr>
        <w:fldChar w:fldCharType="end"/>
      </w:r>
      <w:bookmarkEnd w:id="3"/>
      <w:r w:rsidR="00927CDC" w:rsidRPr="00F6772A">
        <w:t>: DRX Cycle</w:t>
      </w:r>
    </w:p>
    <w:p w14:paraId="4104C355" w14:textId="217AA18B" w:rsidR="000968AA" w:rsidRDefault="000968AA" w:rsidP="0095292F">
      <w:pPr>
        <w:pStyle w:val="Heading2"/>
        <w:rPr>
          <w:lang w:val="en-US"/>
        </w:rPr>
      </w:pPr>
      <w:r>
        <w:rPr>
          <w:lang w:val="en-US"/>
        </w:rPr>
        <w:lastRenderedPageBreak/>
        <w:t>Rel-16 discussions</w:t>
      </w:r>
    </w:p>
    <w:p w14:paraId="7852B0AC" w14:textId="1F0C83BB" w:rsidR="000968AA" w:rsidRPr="000968AA" w:rsidRDefault="000968AA" w:rsidP="000968AA">
      <w:pPr>
        <w:rPr>
          <w:bCs/>
          <w:lang w:val="en-US"/>
        </w:rPr>
      </w:pPr>
      <w:r>
        <w:rPr>
          <w:bCs/>
          <w:lang w:val="en-US"/>
        </w:rPr>
        <w:t>SCG suspension was discussed as part of the Rel-16 WI on DCCA enhancements.</w:t>
      </w:r>
      <w:r w:rsidR="00977A59">
        <w:rPr>
          <w:bCs/>
          <w:lang w:val="en-US"/>
        </w:rPr>
        <w:t xml:space="preserve"> Due to lack of time, it was decided not to complete the objective </w:t>
      </w:r>
      <w:r w:rsidR="004D2B8F">
        <w:rPr>
          <w:bCs/>
          <w:lang w:val="en-US"/>
        </w:rPr>
        <w:t xml:space="preserve">in Rel-16, but before that </w:t>
      </w:r>
      <w:r w:rsidR="00977A59">
        <w:rPr>
          <w:bCs/>
          <w:lang w:val="en-US"/>
        </w:rPr>
        <w:t>in</w:t>
      </w:r>
      <w:r>
        <w:rPr>
          <w:bCs/>
          <w:lang w:val="en-US"/>
        </w:rPr>
        <w:t xml:space="preserve"> </w:t>
      </w:r>
      <w:r w:rsidRPr="000968AA">
        <w:rPr>
          <w:bCs/>
          <w:lang w:val="en-US"/>
        </w:rPr>
        <w:t>RAN2#107bis</w:t>
      </w:r>
      <w:r>
        <w:rPr>
          <w:bCs/>
          <w:lang w:val="en-US"/>
        </w:rPr>
        <w:t>, the following assumptions were made regarding SCG suspension</w:t>
      </w:r>
      <w:r w:rsidRPr="000968AA">
        <w:rPr>
          <w:bCs/>
          <w:lang w:val="en-US"/>
        </w:rPr>
        <w:t>:</w:t>
      </w:r>
    </w:p>
    <w:p w14:paraId="53B0B43A" w14:textId="5BF45157" w:rsidR="000968AA" w:rsidRPr="00977A59" w:rsidRDefault="000968AA" w:rsidP="001F6A12">
      <w:pPr>
        <w:pStyle w:val="ListParagraph"/>
        <w:numPr>
          <w:ilvl w:val="0"/>
          <w:numId w:val="40"/>
        </w:numPr>
        <w:rPr>
          <w:bCs/>
          <w:lang w:val="en-US"/>
        </w:rPr>
      </w:pPr>
      <w:bookmarkStart w:id="4" w:name="_Hlk47011613"/>
      <w:r w:rsidRPr="00977A59">
        <w:rPr>
          <w:bCs/>
          <w:lang w:val="en-US"/>
        </w:rPr>
        <w:t>The UE supports network-controlled suspension of the SCG in RRC_CONNECTED.</w:t>
      </w:r>
    </w:p>
    <w:p w14:paraId="6B647A3D" w14:textId="77777777" w:rsidR="000968AA" w:rsidRPr="00977A59" w:rsidRDefault="000968AA" w:rsidP="001F6A12">
      <w:pPr>
        <w:pStyle w:val="ListParagraph"/>
        <w:numPr>
          <w:ilvl w:val="0"/>
          <w:numId w:val="40"/>
        </w:numPr>
        <w:rPr>
          <w:bCs/>
          <w:lang w:val="en-US"/>
        </w:rPr>
      </w:pPr>
      <w:r w:rsidRPr="00977A59">
        <w:rPr>
          <w:bCs/>
          <w:lang w:val="en-US"/>
        </w:rPr>
        <w:t xml:space="preserve">UE behaviour for a suspended SCG is FFS </w:t>
      </w:r>
    </w:p>
    <w:p w14:paraId="10CDF988" w14:textId="77777777" w:rsidR="000968AA" w:rsidRPr="00977A59" w:rsidRDefault="000968AA" w:rsidP="001F6A12">
      <w:pPr>
        <w:pStyle w:val="ListParagraph"/>
        <w:numPr>
          <w:ilvl w:val="0"/>
          <w:numId w:val="40"/>
        </w:numPr>
        <w:rPr>
          <w:bCs/>
          <w:lang w:val="en-US"/>
        </w:rPr>
      </w:pPr>
      <w:r w:rsidRPr="00977A59">
        <w:rPr>
          <w:bCs/>
          <w:lang w:val="en-US"/>
        </w:rPr>
        <w:t>The UE supports at most one SCG configuration, suspended or not suspended, in Rel16.</w:t>
      </w:r>
    </w:p>
    <w:p w14:paraId="3DF1B1A1" w14:textId="1FBF2DFB" w:rsidR="000968AA" w:rsidRPr="00977A59" w:rsidRDefault="000968AA" w:rsidP="001F6A12">
      <w:pPr>
        <w:pStyle w:val="ListParagraph"/>
        <w:numPr>
          <w:ilvl w:val="0"/>
          <w:numId w:val="40"/>
        </w:numPr>
        <w:rPr>
          <w:bCs/>
          <w:lang w:val="en-US"/>
        </w:rPr>
      </w:pPr>
      <w:r w:rsidRPr="00977A59">
        <w:rPr>
          <w:bCs/>
          <w:lang w:val="en-US"/>
        </w:rPr>
        <w:t>In RRC_CONNECTED upon addition of the SCG, the SCG can be either suspended or not suspended by configuration.</w:t>
      </w:r>
    </w:p>
    <w:p w14:paraId="0453C756" w14:textId="5D499C4E" w:rsidR="009B77A1" w:rsidRPr="009B77A1" w:rsidRDefault="009B77A1" w:rsidP="009B77A1">
      <w:pPr>
        <w:rPr>
          <w:bCs/>
          <w:lang w:val="en-US"/>
        </w:rPr>
      </w:pPr>
      <w:r>
        <w:rPr>
          <w:bCs/>
          <w:lang w:val="en-US"/>
        </w:rPr>
        <w:t>These above agreements serve as a reasonable starting point for the Rel-17 discussions</w:t>
      </w:r>
      <w:r w:rsidR="00B25BCC">
        <w:rPr>
          <w:bCs/>
          <w:lang w:val="en-US"/>
        </w:rPr>
        <w:t>.</w:t>
      </w:r>
      <w:r w:rsidR="005E18D3">
        <w:rPr>
          <w:bCs/>
          <w:lang w:val="en-US"/>
        </w:rPr>
        <w:t xml:space="preserve"> </w:t>
      </w:r>
    </w:p>
    <w:p w14:paraId="55ED144B" w14:textId="3E083479" w:rsidR="0095292F" w:rsidRDefault="009A1C6B" w:rsidP="000F024F">
      <w:pPr>
        <w:pStyle w:val="Proposal"/>
        <w:numPr>
          <w:ilvl w:val="0"/>
          <w:numId w:val="19"/>
        </w:numPr>
        <w:tabs>
          <w:tab w:val="clear" w:pos="1304"/>
        </w:tabs>
        <w:spacing w:line="256" w:lineRule="auto"/>
        <w:jc w:val="both"/>
        <w:rPr>
          <w:lang w:val="en-US"/>
        </w:rPr>
      </w:pPr>
      <w:bookmarkStart w:id="5" w:name="_Toc47012428"/>
      <w:bookmarkStart w:id="6" w:name="_Toc47012458"/>
      <w:bookmarkStart w:id="7" w:name="_Toc47352573"/>
      <w:bookmarkStart w:id="8" w:name="_Toc47352995"/>
      <w:bookmarkStart w:id="9" w:name="_Toc47358552"/>
      <w:bookmarkStart w:id="10" w:name="_Toc47359902"/>
      <w:bookmarkStart w:id="11" w:name="_Toc47359921"/>
      <w:bookmarkStart w:id="12" w:name="_Toc47372159"/>
      <w:bookmarkStart w:id="13" w:name="_Toc47372373"/>
      <w:bookmarkStart w:id="14" w:name="_Toc47383590"/>
      <w:bookmarkStart w:id="15" w:name="_Toc47452078"/>
      <w:bookmarkStart w:id="16" w:name="_Toc47534327"/>
      <w:bookmarkStart w:id="17" w:name="_Toc47538359"/>
      <w:bookmarkStart w:id="18" w:name="_Toc47556526"/>
      <w:bookmarkStart w:id="19" w:name="_Toc47556710"/>
      <w:bookmarkStart w:id="20" w:name="_Toc47610772"/>
      <w:bookmarkStart w:id="21" w:name="_Toc47611994"/>
      <w:bookmarkStart w:id="22" w:name="_Toc47635612"/>
      <w:bookmarkStart w:id="23" w:name="_Toc47637950"/>
      <w:bookmarkEnd w:id="4"/>
      <w:r w:rsidRPr="002661CA">
        <w:rPr>
          <w:rFonts w:eastAsia="SimSun"/>
          <w:szCs w:val="20"/>
          <w:lang w:val="en-US" w:eastAsia="zh-CN"/>
        </w:rPr>
        <w:t>The agreements from Rel-16 can act as starting point for Rel-17 di</w:t>
      </w:r>
      <w:r w:rsidR="000F024F" w:rsidRPr="002661CA">
        <w:rPr>
          <w:rFonts w:eastAsia="SimSun"/>
          <w:szCs w:val="20"/>
          <w:lang w:val="en-US" w:eastAsia="zh-CN"/>
        </w:rPr>
        <w:t>s</w:t>
      </w:r>
      <w:r w:rsidRPr="002661CA">
        <w:rPr>
          <w:rFonts w:eastAsia="SimSun"/>
          <w:szCs w:val="20"/>
          <w:lang w:val="en-US" w:eastAsia="zh-CN"/>
        </w:rPr>
        <w:t>cussions, i.e.</w:t>
      </w:r>
      <w:r w:rsidRPr="002661CA">
        <w:rPr>
          <w:rFonts w:eastAsia="SimSun"/>
          <w:szCs w:val="20"/>
          <w:lang w:val="en-US" w:eastAsia="zh-CN"/>
        </w:rPr>
        <w:br/>
      </w:r>
      <w:r w:rsidR="00E05987">
        <w:rPr>
          <w:rFonts w:eastAsia="SimSun"/>
          <w:szCs w:val="20"/>
          <w:lang w:val="en-US" w:eastAsia="zh-CN"/>
        </w:rPr>
        <w:t>a)</w:t>
      </w:r>
      <w:r w:rsidRPr="002661CA">
        <w:rPr>
          <w:rFonts w:eastAsia="SimSun"/>
          <w:szCs w:val="20"/>
          <w:lang w:val="en-US" w:eastAsia="zh-CN"/>
        </w:rPr>
        <w:t xml:space="preserve"> </w:t>
      </w:r>
      <w:r w:rsidR="00E05987">
        <w:rPr>
          <w:lang w:val="en-US"/>
        </w:rPr>
        <w:t xml:space="preserve">In RRC_CONNECTED, the UE </w:t>
      </w:r>
      <w:r w:rsidRPr="000F024F">
        <w:rPr>
          <w:lang w:val="en-US"/>
        </w:rPr>
        <w:t>supports network</w:t>
      </w:r>
      <w:r w:rsidR="00E05987">
        <w:rPr>
          <w:lang w:val="en-US"/>
        </w:rPr>
        <w:t xml:space="preserve"> </w:t>
      </w:r>
      <w:r w:rsidRPr="000F024F">
        <w:rPr>
          <w:lang w:val="en-US"/>
        </w:rPr>
        <w:t xml:space="preserve">controlled </w:t>
      </w:r>
      <w:r w:rsidR="00E05987">
        <w:rPr>
          <w:lang w:val="en-US"/>
        </w:rPr>
        <w:t xml:space="preserve">SCG </w:t>
      </w:r>
      <w:r w:rsidR="00547892">
        <w:rPr>
          <w:lang w:val="en-US"/>
        </w:rPr>
        <w:t xml:space="preserve">activation and </w:t>
      </w:r>
      <w:r w:rsidR="00B25BCC">
        <w:rPr>
          <w:lang w:val="en-US"/>
        </w:rPr>
        <w:t>deactivation</w:t>
      </w:r>
      <w:r w:rsidRPr="000F024F">
        <w:rPr>
          <w:lang w:val="en-US"/>
        </w:rPr>
        <w:br/>
      </w:r>
      <w:r w:rsidR="00E05987">
        <w:rPr>
          <w:lang w:val="en-US"/>
        </w:rPr>
        <w:t>b)</w:t>
      </w:r>
      <w:r w:rsidR="000F024F">
        <w:rPr>
          <w:lang w:val="en-US"/>
        </w:rPr>
        <w:t xml:space="preserve"> </w:t>
      </w:r>
      <w:r w:rsidR="00E05987">
        <w:rPr>
          <w:lang w:val="en-US"/>
        </w:rPr>
        <w:t xml:space="preserve">The </w:t>
      </w:r>
      <w:r w:rsidR="000F024F" w:rsidRPr="000F024F">
        <w:rPr>
          <w:lang w:val="en-US"/>
        </w:rPr>
        <w:t xml:space="preserve">UE supports at most one SCG configuration, </w:t>
      </w:r>
      <w:r w:rsidR="00B25BCC">
        <w:rPr>
          <w:lang w:val="en-US"/>
        </w:rPr>
        <w:t>activated or deactivated</w:t>
      </w:r>
      <w:r w:rsidR="000F024F" w:rsidRPr="000F024F">
        <w:rPr>
          <w:lang w:val="en-US"/>
        </w:rPr>
        <w:t>.</w:t>
      </w:r>
      <w:r w:rsidR="000F024F">
        <w:rPr>
          <w:lang w:val="en-US"/>
        </w:rPr>
        <w:br/>
      </w:r>
      <w:r w:rsidR="00E05987">
        <w:rPr>
          <w:lang w:val="en-US"/>
        </w:rPr>
        <w:t>c)</w:t>
      </w:r>
      <w:r w:rsidR="000F024F">
        <w:rPr>
          <w:lang w:val="en-US"/>
        </w:rPr>
        <w:t xml:space="preserve"> </w:t>
      </w:r>
      <w:r w:rsidR="000F024F" w:rsidRPr="000F024F">
        <w:rPr>
          <w:lang w:val="en-US"/>
        </w:rPr>
        <w:t>In RRC_CONNECTED</w:t>
      </w:r>
      <w:r w:rsidR="00B25BCC">
        <w:rPr>
          <w:lang w:val="en-US"/>
        </w:rPr>
        <w:t>, an SCG can be added either activated or deactivated</w:t>
      </w:r>
      <w:r w:rsidR="000F024F" w:rsidRPr="000F024F">
        <w:rPr>
          <w:lang w:val="en-US"/>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D7B6A1" w14:textId="77777777" w:rsidR="00552BAD" w:rsidRDefault="00552BAD" w:rsidP="00977A59">
      <w:pPr>
        <w:pStyle w:val="Heading2"/>
      </w:pPr>
      <w:r>
        <w:t>Evaluation criteria</w:t>
      </w:r>
    </w:p>
    <w:p w14:paraId="17A59C17" w14:textId="7E59252C" w:rsidR="00552BAD" w:rsidRPr="00351A96" w:rsidRDefault="003C0337" w:rsidP="00552BAD">
      <w:pPr>
        <w:pStyle w:val="Doc-text2"/>
        <w:ind w:left="0" w:firstLine="0"/>
        <w:rPr>
          <w:lang w:val="en-US"/>
        </w:rPr>
      </w:pPr>
      <w:r>
        <w:rPr>
          <w:lang w:val="en-US"/>
        </w:rPr>
        <w:t>There may be different solutions being proposed in R17 for UE and network power saving for SCG activation/deactivation. Hence, i</w:t>
      </w:r>
      <w:r w:rsidR="00977A59" w:rsidRPr="00351A96">
        <w:rPr>
          <w:lang w:val="en-US"/>
        </w:rPr>
        <w:t xml:space="preserve">t is good to define a set of evaluation criteria for the comparison of different SCG activation/deactivation solutions. </w:t>
      </w:r>
      <w:r w:rsidR="009A6166">
        <w:rPr>
          <w:lang w:val="en-US"/>
        </w:rPr>
        <w:t>Though the prime objective is to improve power saving performance, the following relevant criteria can be listed:</w:t>
      </w:r>
    </w:p>
    <w:p w14:paraId="120D8CF3" w14:textId="156E6D0B" w:rsidR="00552BAD" w:rsidRDefault="00552BAD" w:rsidP="00977A59">
      <w:pPr>
        <w:pStyle w:val="Doc-text2"/>
        <w:numPr>
          <w:ilvl w:val="0"/>
          <w:numId w:val="53"/>
        </w:numPr>
        <w:rPr>
          <w:lang w:val="en-US"/>
        </w:rPr>
      </w:pPr>
      <w:r>
        <w:rPr>
          <w:lang w:val="en-US"/>
        </w:rPr>
        <w:t>Complexity</w:t>
      </w:r>
      <w:r w:rsidR="00977A59">
        <w:rPr>
          <w:lang w:val="en-US"/>
        </w:rPr>
        <w:t>. This</w:t>
      </w:r>
      <w:r>
        <w:rPr>
          <w:lang w:val="en-US"/>
        </w:rPr>
        <w:t xml:space="preserve"> may be subdivided into UE complexity</w:t>
      </w:r>
      <w:r w:rsidR="00351A96">
        <w:rPr>
          <w:lang w:val="en-US"/>
        </w:rPr>
        <w:t>, network complexity</w:t>
      </w:r>
      <w:r>
        <w:rPr>
          <w:lang w:val="en-US"/>
        </w:rPr>
        <w:t xml:space="preserve"> and specification complexity.</w:t>
      </w:r>
    </w:p>
    <w:p w14:paraId="3C501970" w14:textId="304EAA36" w:rsidR="00977A59" w:rsidRDefault="00552BAD" w:rsidP="00977A59">
      <w:pPr>
        <w:pStyle w:val="Doc-text2"/>
        <w:numPr>
          <w:ilvl w:val="0"/>
          <w:numId w:val="53"/>
        </w:numPr>
        <w:rPr>
          <w:lang w:val="en-US"/>
        </w:rPr>
      </w:pPr>
      <w:r>
        <w:rPr>
          <w:lang w:val="en-US"/>
        </w:rPr>
        <w:t>Performance</w:t>
      </w:r>
      <w:r w:rsidR="00977A59">
        <w:rPr>
          <w:lang w:val="en-US"/>
        </w:rPr>
        <w:t>. This</w:t>
      </w:r>
      <w:r>
        <w:rPr>
          <w:lang w:val="en-US"/>
        </w:rPr>
        <w:t xml:space="preserve"> may be subdivided into </w:t>
      </w:r>
      <w:r w:rsidR="00B92A53">
        <w:rPr>
          <w:lang w:val="en-US"/>
        </w:rPr>
        <w:t>power saving performance (UE/Network)</w:t>
      </w:r>
      <w:r w:rsidR="00AD2EA5">
        <w:rPr>
          <w:lang w:val="en-US"/>
        </w:rPr>
        <w:t xml:space="preserve"> and </w:t>
      </w:r>
      <w:r w:rsidR="00B92A53">
        <w:rPr>
          <w:lang w:val="en-US"/>
        </w:rPr>
        <w:t>activation/deactivation</w:t>
      </w:r>
      <w:r w:rsidR="00C62162">
        <w:rPr>
          <w:lang w:val="en-US"/>
        </w:rPr>
        <w:t xml:space="preserve"> latency</w:t>
      </w:r>
      <w:r w:rsidR="00977A59">
        <w:rPr>
          <w:lang w:val="en-US"/>
        </w:rPr>
        <w:t>.</w:t>
      </w:r>
    </w:p>
    <w:p w14:paraId="12AAE2EC" w14:textId="60220F45" w:rsidR="00977A59" w:rsidRDefault="00977A59" w:rsidP="00977A59">
      <w:pPr>
        <w:pStyle w:val="Doc-text2"/>
        <w:numPr>
          <w:ilvl w:val="0"/>
          <w:numId w:val="53"/>
        </w:numPr>
        <w:rPr>
          <w:lang w:val="en-US"/>
        </w:rPr>
      </w:pPr>
      <w:r w:rsidRPr="00977A59">
        <w:rPr>
          <w:lang w:val="en-US"/>
        </w:rPr>
        <w:t>Scenarios</w:t>
      </w:r>
      <w:r>
        <w:rPr>
          <w:lang w:val="en-US"/>
        </w:rPr>
        <w:t xml:space="preserve"> that </w:t>
      </w:r>
      <w:r w:rsidR="00351A96">
        <w:rPr>
          <w:lang w:val="en-US"/>
        </w:rPr>
        <w:t>are</w:t>
      </w:r>
      <w:r>
        <w:rPr>
          <w:lang w:val="en-US"/>
        </w:rPr>
        <w:t xml:space="preserve"> supported</w:t>
      </w:r>
      <w:r w:rsidR="00351A96">
        <w:rPr>
          <w:lang w:val="en-US"/>
        </w:rPr>
        <w:t>, such as applicable deployment scenarios and applicable MR-DC architecture deployment options</w:t>
      </w:r>
      <w:r>
        <w:rPr>
          <w:lang w:val="en-US"/>
        </w:rPr>
        <w:t xml:space="preserve">. </w:t>
      </w:r>
      <w:r w:rsidR="00351A96">
        <w:rPr>
          <w:lang w:val="en-US"/>
        </w:rPr>
        <w:t xml:space="preserve"> </w:t>
      </w:r>
    </w:p>
    <w:p w14:paraId="15B0C015" w14:textId="43CF7636" w:rsidR="009A6166" w:rsidRPr="00977A59" w:rsidRDefault="009A6166" w:rsidP="009A6166">
      <w:pPr>
        <w:pStyle w:val="Doc-text2"/>
        <w:ind w:left="0" w:firstLine="0"/>
        <w:rPr>
          <w:lang w:val="en-US"/>
        </w:rPr>
      </w:pPr>
      <w:r>
        <w:rPr>
          <w:lang w:val="en-US"/>
        </w:rPr>
        <w:t xml:space="preserve">When comparing different alternatives for SCG (de)activation, the above listed criteria should be used. </w:t>
      </w:r>
    </w:p>
    <w:p w14:paraId="75BF3633" w14:textId="6424686B" w:rsidR="00E05987" w:rsidRPr="00E05987" w:rsidRDefault="009A6166" w:rsidP="00E05987">
      <w:pPr>
        <w:pStyle w:val="Proposal"/>
        <w:rPr>
          <w:lang w:val="en-US"/>
        </w:rPr>
      </w:pPr>
      <w:bookmarkStart w:id="24" w:name="_Toc47372160"/>
      <w:bookmarkStart w:id="25" w:name="_Toc47372374"/>
      <w:bookmarkStart w:id="26" w:name="_Toc47383591"/>
      <w:bookmarkStart w:id="27" w:name="_Toc47452079"/>
      <w:bookmarkStart w:id="28" w:name="_Toc47534328"/>
      <w:bookmarkStart w:id="29" w:name="_Toc47538360"/>
      <w:bookmarkStart w:id="30" w:name="_Toc47556527"/>
      <w:bookmarkStart w:id="31" w:name="_Toc47556711"/>
      <w:bookmarkStart w:id="32" w:name="_Toc47610773"/>
      <w:bookmarkStart w:id="33" w:name="_Toc47611995"/>
      <w:bookmarkStart w:id="34" w:name="_Toc47635613"/>
      <w:bookmarkStart w:id="35" w:name="_Toc47637951"/>
      <w:r>
        <w:rPr>
          <w:lang w:val="en-US"/>
        </w:rPr>
        <w:t>Evaluation criteria for comparison of SCG (de)activation alternatives</w:t>
      </w:r>
      <w:r w:rsidR="00E05987">
        <w:rPr>
          <w:lang w:val="en-US"/>
        </w:rPr>
        <w:t xml:space="preserve"> are:</w:t>
      </w:r>
      <w:r w:rsidR="00E05987">
        <w:rPr>
          <w:lang w:val="en-US"/>
        </w:rPr>
        <w:br/>
        <w:t>a) Complexity (UE, network and specification)</w:t>
      </w:r>
      <w:r w:rsidR="00E05987">
        <w:rPr>
          <w:lang w:val="en-US"/>
        </w:rPr>
        <w:br/>
        <w:t>b) Performance (UE/network power saving, latency)</w:t>
      </w:r>
      <w:r w:rsidR="00E05987">
        <w:rPr>
          <w:lang w:val="en-US"/>
        </w:rPr>
        <w:br/>
        <w:t xml:space="preserve">c) </w:t>
      </w:r>
      <w:r w:rsidR="008F0E3D">
        <w:rPr>
          <w:lang w:val="en-US"/>
        </w:rPr>
        <w:t>Applicable s</w:t>
      </w:r>
      <w:r w:rsidR="00E05987">
        <w:rPr>
          <w:lang w:val="en-US"/>
        </w:rPr>
        <w:t>cenarios (deployment scenarios, MR-DC architecture options)</w:t>
      </w:r>
      <w:bookmarkEnd w:id="24"/>
      <w:bookmarkEnd w:id="25"/>
      <w:bookmarkEnd w:id="26"/>
      <w:bookmarkEnd w:id="27"/>
      <w:bookmarkEnd w:id="28"/>
      <w:bookmarkEnd w:id="29"/>
      <w:bookmarkEnd w:id="30"/>
      <w:bookmarkEnd w:id="31"/>
      <w:bookmarkEnd w:id="32"/>
      <w:bookmarkEnd w:id="33"/>
      <w:bookmarkEnd w:id="34"/>
      <w:bookmarkEnd w:id="35"/>
    </w:p>
    <w:p w14:paraId="53B67012" w14:textId="4FF68576" w:rsidR="0095292F" w:rsidRDefault="0095292F" w:rsidP="0095292F">
      <w:pPr>
        <w:pStyle w:val="Heading2"/>
      </w:pPr>
      <w:r>
        <w:t xml:space="preserve">SCG </w:t>
      </w:r>
      <w:r w:rsidR="004C1157">
        <w:t>(de)</w:t>
      </w:r>
      <w:r>
        <w:t>activation</w:t>
      </w:r>
      <w:r w:rsidR="004C1157">
        <w:t xml:space="preserve"> </w:t>
      </w:r>
      <w:r w:rsidR="00977A59">
        <w:t>alternatives</w:t>
      </w:r>
    </w:p>
    <w:p w14:paraId="187872DF" w14:textId="01FED8F6" w:rsidR="004C1157" w:rsidRPr="002661CA" w:rsidRDefault="004C1157" w:rsidP="004C1157">
      <w:pPr>
        <w:rPr>
          <w:lang w:val="en-US" w:eastAsia="zh-CN"/>
        </w:rPr>
      </w:pPr>
      <w:r w:rsidRPr="002661CA">
        <w:rPr>
          <w:lang w:val="en-US" w:eastAsia="zh-CN"/>
        </w:rPr>
        <w:t xml:space="preserve">During the Rel-16 discussions, the following </w:t>
      </w:r>
      <w:r w:rsidR="00942476" w:rsidRPr="002661CA">
        <w:rPr>
          <w:lang w:val="en-US" w:eastAsia="zh-CN"/>
        </w:rPr>
        <w:t>general</w:t>
      </w:r>
      <w:r w:rsidR="001D05A0" w:rsidRPr="002661CA">
        <w:rPr>
          <w:lang w:val="en-US" w:eastAsia="zh-CN"/>
        </w:rPr>
        <w:t xml:space="preserve"> </w:t>
      </w:r>
      <w:r w:rsidRPr="002661CA">
        <w:rPr>
          <w:lang w:val="en-US" w:eastAsia="zh-CN"/>
        </w:rPr>
        <w:t xml:space="preserve">approaches </w:t>
      </w:r>
      <w:r w:rsidR="00942476" w:rsidRPr="002661CA">
        <w:rPr>
          <w:lang w:val="en-US" w:eastAsia="zh-CN"/>
        </w:rPr>
        <w:t xml:space="preserve">for SCG </w:t>
      </w:r>
      <w:r w:rsidR="00C21B22">
        <w:rPr>
          <w:lang w:val="en-US" w:eastAsia="zh-CN"/>
        </w:rPr>
        <w:t>deactivation</w:t>
      </w:r>
      <w:r w:rsidR="00942476" w:rsidRPr="002661CA">
        <w:rPr>
          <w:lang w:val="en-US" w:eastAsia="zh-CN"/>
        </w:rPr>
        <w:t xml:space="preserve"> were</w:t>
      </w:r>
      <w:r w:rsidRPr="002661CA">
        <w:rPr>
          <w:lang w:val="en-US" w:eastAsia="zh-CN"/>
        </w:rPr>
        <w:t xml:space="preserve"> </w:t>
      </w:r>
      <w:r w:rsidR="00C21B22">
        <w:rPr>
          <w:lang w:val="en-US" w:eastAsia="zh-CN"/>
        </w:rPr>
        <w:t>proposed</w:t>
      </w:r>
      <w:r w:rsidRPr="002661CA">
        <w:rPr>
          <w:lang w:val="en-US" w:eastAsia="zh-CN"/>
        </w:rPr>
        <w:t xml:space="preserve">: </w:t>
      </w:r>
    </w:p>
    <w:p w14:paraId="16D7BE10" w14:textId="3A746C18" w:rsidR="001D05A0" w:rsidRPr="00351A96" w:rsidRDefault="001D05A0" w:rsidP="001D05A0">
      <w:pPr>
        <w:pStyle w:val="Doc-text2"/>
        <w:numPr>
          <w:ilvl w:val="0"/>
          <w:numId w:val="46"/>
        </w:numPr>
        <w:rPr>
          <w:lang w:val="en-US"/>
        </w:rPr>
      </w:pPr>
      <w:r w:rsidRPr="002661CA">
        <w:rPr>
          <w:b/>
          <w:lang w:val="en-US"/>
        </w:rPr>
        <w:t xml:space="preserve">Long SCG </w:t>
      </w:r>
      <w:r w:rsidR="004C1157" w:rsidRPr="002661CA">
        <w:rPr>
          <w:b/>
          <w:lang w:val="en-US"/>
        </w:rPr>
        <w:t>DRX</w:t>
      </w:r>
      <w:r w:rsidRPr="002661CA">
        <w:rPr>
          <w:lang w:val="en-US"/>
        </w:rPr>
        <w:t>.</w:t>
      </w:r>
      <w:r w:rsidR="00636E76">
        <w:rPr>
          <w:lang w:val="en-US"/>
        </w:rPr>
        <w:t xml:space="preserve"> This includes various solutions involving long DRX in the SCG. For example,</w:t>
      </w:r>
      <w:r w:rsidRPr="002661CA">
        <w:rPr>
          <w:lang w:val="en-US"/>
        </w:rPr>
        <w:t xml:space="preserve"> </w:t>
      </w:r>
      <w:r w:rsidR="00636E76">
        <w:rPr>
          <w:lang w:val="en-US"/>
        </w:rPr>
        <w:t>i</w:t>
      </w:r>
      <w:r w:rsidR="004B5900">
        <w:rPr>
          <w:lang w:val="en-US"/>
        </w:rPr>
        <w:t xml:space="preserve">n </w:t>
      </w:r>
      <w:r w:rsidR="004B5900">
        <w:rPr>
          <w:lang w:val="en-US"/>
        </w:rPr>
        <w:fldChar w:fldCharType="begin"/>
      </w:r>
      <w:r w:rsidR="004B5900">
        <w:rPr>
          <w:lang w:val="en-US"/>
        </w:rPr>
        <w:instrText xml:space="preserve"> REF _Ref47539173 \n \h </w:instrText>
      </w:r>
      <w:r w:rsidR="004B5900">
        <w:rPr>
          <w:lang w:val="en-US"/>
        </w:rPr>
      </w:r>
      <w:r w:rsidR="004B5900">
        <w:rPr>
          <w:lang w:val="en-US"/>
        </w:rPr>
        <w:fldChar w:fldCharType="separate"/>
      </w:r>
      <w:r w:rsidR="004B5900">
        <w:rPr>
          <w:lang w:val="en-US"/>
        </w:rPr>
        <w:t>[2]</w:t>
      </w:r>
      <w:r w:rsidR="004B5900">
        <w:rPr>
          <w:lang w:val="en-US"/>
        </w:rPr>
        <w:fldChar w:fldCharType="end"/>
      </w:r>
      <w:r w:rsidR="004B5900">
        <w:rPr>
          <w:lang w:val="en-US"/>
        </w:rPr>
        <w:t>, it was proposed to c</w:t>
      </w:r>
      <w:r w:rsidR="004D4846">
        <w:rPr>
          <w:lang w:val="en-US" w:eastAsia="zh-CN"/>
        </w:rPr>
        <w:t>onfigure</w:t>
      </w:r>
      <w:r w:rsidRPr="001D05A0">
        <w:rPr>
          <w:lang w:val="en-US" w:eastAsia="zh-CN"/>
        </w:rPr>
        <w:t xml:space="preserve"> long DRX for PSCell</w:t>
      </w:r>
      <w:r w:rsidR="004D4846">
        <w:rPr>
          <w:lang w:val="en-US" w:eastAsia="zh-CN"/>
        </w:rPr>
        <w:t xml:space="preserve"> and switch SCells to dormant BWP</w:t>
      </w:r>
      <w:r w:rsidR="004B5900">
        <w:rPr>
          <w:lang w:val="en-US" w:eastAsia="zh-CN"/>
        </w:rPr>
        <w:t>.</w:t>
      </w:r>
      <w:r w:rsidR="00D77A78">
        <w:rPr>
          <w:lang w:val="en-US" w:eastAsia="zh-CN"/>
        </w:rPr>
        <w:t xml:space="preserve"> There were also proposals for activating the SCG using the MCG</w:t>
      </w:r>
      <w:r w:rsidR="00636E76">
        <w:rPr>
          <w:lang w:val="en-US" w:eastAsia="zh-CN"/>
        </w:rPr>
        <w:t xml:space="preserve"> using RRC signalling</w:t>
      </w:r>
      <w:r w:rsidR="00D77A78">
        <w:rPr>
          <w:lang w:val="en-US" w:eastAsia="zh-CN"/>
        </w:rPr>
        <w:t>.</w:t>
      </w:r>
    </w:p>
    <w:p w14:paraId="621754E2" w14:textId="26BCC56F" w:rsidR="0012008D" w:rsidRPr="00351A96" w:rsidRDefault="006C512B" w:rsidP="007A0373">
      <w:pPr>
        <w:pStyle w:val="Doc-text2"/>
        <w:numPr>
          <w:ilvl w:val="1"/>
          <w:numId w:val="46"/>
        </w:numPr>
        <w:rPr>
          <w:lang w:val="en-US"/>
        </w:rPr>
      </w:pPr>
      <w:r w:rsidRPr="00351A96">
        <w:rPr>
          <w:lang w:val="en-US"/>
        </w:rPr>
        <w:t>Complexity</w:t>
      </w:r>
      <w:r w:rsidR="0012008D" w:rsidRPr="00351A96">
        <w:rPr>
          <w:lang w:val="en-US"/>
        </w:rPr>
        <w:t xml:space="preserve">: </w:t>
      </w:r>
      <w:r w:rsidR="00D77A78">
        <w:rPr>
          <w:lang w:val="en-US"/>
        </w:rPr>
        <w:t xml:space="preserve">Low to </w:t>
      </w:r>
      <w:r w:rsidR="001A1E69">
        <w:rPr>
          <w:lang w:val="en-US"/>
        </w:rPr>
        <w:t xml:space="preserve">Medium </w:t>
      </w:r>
      <w:r w:rsidR="00D77A78">
        <w:rPr>
          <w:lang w:val="en-US"/>
        </w:rPr>
        <w:t xml:space="preserve">depending a bit on </w:t>
      </w:r>
      <w:r w:rsidR="00636E76">
        <w:rPr>
          <w:lang w:val="en-US"/>
        </w:rPr>
        <w:t>the realization. E.g. d</w:t>
      </w:r>
      <w:r w:rsidR="0012008D" w:rsidRPr="0012008D">
        <w:rPr>
          <w:lang w:val="en-US"/>
        </w:rPr>
        <w:t xml:space="preserve">ifferent DRX configurations for MCG and SCG </w:t>
      </w:r>
      <w:r w:rsidR="00636E76">
        <w:rPr>
          <w:lang w:val="en-US"/>
        </w:rPr>
        <w:t xml:space="preserve">is </w:t>
      </w:r>
      <w:r w:rsidR="0012008D" w:rsidRPr="0012008D">
        <w:rPr>
          <w:lang w:val="en-US"/>
        </w:rPr>
        <w:t>already supported</w:t>
      </w:r>
      <w:r w:rsidR="00D16B0B">
        <w:rPr>
          <w:lang w:val="en-US"/>
        </w:rPr>
        <w:t>, but activation via MCG can increase complexity.</w:t>
      </w:r>
    </w:p>
    <w:p w14:paraId="20477D4C" w14:textId="11C03F28" w:rsidR="0012008D" w:rsidRDefault="006C512B" w:rsidP="007A0373">
      <w:pPr>
        <w:pStyle w:val="Doc-text2"/>
        <w:numPr>
          <w:ilvl w:val="1"/>
          <w:numId w:val="46"/>
        </w:numPr>
      </w:pPr>
      <w:r>
        <w:lastRenderedPageBreak/>
        <w:t>Performance</w:t>
      </w:r>
      <w:r w:rsidR="0012008D">
        <w:t xml:space="preserve">: </w:t>
      </w:r>
    </w:p>
    <w:p w14:paraId="4F9CE36D" w14:textId="6D5E09BE" w:rsidR="0012008D" w:rsidRPr="00351A96" w:rsidRDefault="00F81435" w:rsidP="007A0373">
      <w:pPr>
        <w:pStyle w:val="Doc-text2"/>
        <w:numPr>
          <w:ilvl w:val="2"/>
          <w:numId w:val="46"/>
        </w:numPr>
        <w:rPr>
          <w:lang w:val="en-US"/>
        </w:rPr>
      </w:pPr>
      <w:r>
        <w:rPr>
          <w:lang w:val="en-US"/>
        </w:rPr>
        <w:t xml:space="preserve">Power saving is negatively </w:t>
      </w:r>
      <w:r w:rsidR="0012008D" w:rsidRPr="00351A96">
        <w:rPr>
          <w:lang w:val="en-US"/>
        </w:rPr>
        <w:t>affected by ON duration every DRX cycle</w:t>
      </w:r>
      <w:r>
        <w:rPr>
          <w:lang w:val="en-US"/>
        </w:rPr>
        <w:t>, during which also PDCCH is monitored.</w:t>
      </w:r>
    </w:p>
    <w:p w14:paraId="27427ADB" w14:textId="01B0E5E7" w:rsidR="0012008D" w:rsidRPr="00351A96" w:rsidRDefault="009033FC" w:rsidP="007A0373">
      <w:pPr>
        <w:pStyle w:val="Doc-text2"/>
        <w:numPr>
          <w:ilvl w:val="2"/>
          <w:numId w:val="46"/>
        </w:numPr>
        <w:rPr>
          <w:lang w:val="en-US"/>
        </w:rPr>
      </w:pPr>
      <w:r>
        <w:rPr>
          <w:lang w:val="en-US"/>
        </w:rPr>
        <w:t xml:space="preserve">Latency </w:t>
      </w:r>
      <w:r w:rsidR="00725CB3">
        <w:rPr>
          <w:lang w:val="en-US"/>
        </w:rPr>
        <w:t xml:space="preserve">is </w:t>
      </w:r>
      <w:r w:rsidR="0012008D" w:rsidRPr="00351A96">
        <w:rPr>
          <w:lang w:val="en-US"/>
        </w:rPr>
        <w:t xml:space="preserve">affected by </w:t>
      </w:r>
      <w:r w:rsidR="00725CB3">
        <w:rPr>
          <w:lang w:val="en-US"/>
        </w:rPr>
        <w:t xml:space="preserve">the </w:t>
      </w:r>
      <w:r w:rsidR="0012008D" w:rsidRPr="00351A96">
        <w:rPr>
          <w:lang w:val="en-US"/>
        </w:rPr>
        <w:t>DRX cycle</w:t>
      </w:r>
      <w:r w:rsidR="004D18FD">
        <w:rPr>
          <w:lang w:val="en-US"/>
        </w:rPr>
        <w:t xml:space="preserve"> (network has to wait until </w:t>
      </w:r>
      <w:r w:rsidR="00D16B0B">
        <w:rPr>
          <w:lang w:val="en-US"/>
        </w:rPr>
        <w:t>ON</w:t>
      </w:r>
      <w:r w:rsidR="004D18FD">
        <w:rPr>
          <w:lang w:val="en-US"/>
        </w:rPr>
        <w:t xml:space="preserve"> duration to activate the SCG</w:t>
      </w:r>
      <w:r w:rsidR="00725CB3">
        <w:rPr>
          <w:lang w:val="en-US"/>
        </w:rPr>
        <w:t>)</w:t>
      </w:r>
      <w:r w:rsidR="00725CB3" w:rsidRPr="00725CB3">
        <w:rPr>
          <w:lang w:val="en-US"/>
        </w:rPr>
        <w:t xml:space="preserve"> </w:t>
      </w:r>
      <w:r w:rsidR="00725CB3">
        <w:rPr>
          <w:lang w:val="en-US"/>
        </w:rPr>
        <w:t>unless activation is done via MCG</w:t>
      </w:r>
      <w:r w:rsidR="00457526">
        <w:rPr>
          <w:lang w:val="en-US"/>
        </w:rPr>
        <w:t xml:space="preserve">. </w:t>
      </w:r>
    </w:p>
    <w:p w14:paraId="0023DFEE" w14:textId="398F2D07" w:rsidR="001D05A0" w:rsidRPr="00351A96" w:rsidRDefault="001D05A0" w:rsidP="00807F95">
      <w:pPr>
        <w:pStyle w:val="Doc-text2"/>
        <w:numPr>
          <w:ilvl w:val="0"/>
          <w:numId w:val="46"/>
        </w:numPr>
        <w:rPr>
          <w:lang w:val="en-US" w:eastAsia="zh-CN"/>
        </w:rPr>
      </w:pPr>
      <w:r w:rsidRPr="00351A96">
        <w:rPr>
          <w:b/>
          <w:bCs/>
          <w:lang w:val="en-US"/>
        </w:rPr>
        <w:t>Stored SCG</w:t>
      </w:r>
      <w:r w:rsidRPr="00351A96">
        <w:rPr>
          <w:lang w:val="en-US"/>
        </w:rPr>
        <w:t xml:space="preserve">. </w:t>
      </w:r>
      <w:r w:rsidR="00D16B0B">
        <w:rPr>
          <w:lang w:val="en-US"/>
        </w:rPr>
        <w:t>In it’s simplest form, stored SCG is a s</w:t>
      </w:r>
      <w:r w:rsidR="001453A4" w:rsidRPr="00351A96">
        <w:rPr>
          <w:lang w:val="en-US"/>
        </w:rPr>
        <w:t>ignaling optimi</w:t>
      </w:r>
      <w:r w:rsidR="00C21B22">
        <w:rPr>
          <w:lang w:val="en-US"/>
        </w:rPr>
        <w:t>z</w:t>
      </w:r>
      <w:r w:rsidR="001453A4" w:rsidRPr="00351A96">
        <w:rPr>
          <w:lang w:val="en-US"/>
        </w:rPr>
        <w:t>ation</w:t>
      </w:r>
      <w:r w:rsidR="00D16B0B">
        <w:rPr>
          <w:lang w:val="en-US"/>
        </w:rPr>
        <w:t>, where the UE simply stores the SCG configuration instead of releasing it during SCG release. On top of this</w:t>
      </w:r>
      <w:r w:rsidR="00AD2EA5">
        <w:rPr>
          <w:lang w:val="en-US"/>
        </w:rPr>
        <w:t xml:space="preserve">, UE can be </w:t>
      </w:r>
      <w:r w:rsidR="00F81435">
        <w:rPr>
          <w:lang w:val="en-US"/>
        </w:rPr>
        <w:t xml:space="preserve">ordered to continue e.g. RRM and RLM of the deactivated SCG, in order to improve </w:t>
      </w:r>
      <w:r w:rsidR="00783930">
        <w:rPr>
          <w:lang w:val="en-US"/>
        </w:rPr>
        <w:t xml:space="preserve">SCG </w:t>
      </w:r>
      <w:r w:rsidR="00F81435">
        <w:rPr>
          <w:lang w:val="en-US"/>
        </w:rPr>
        <w:t>activation</w:t>
      </w:r>
      <w:r w:rsidR="001453A4" w:rsidRPr="00351A96">
        <w:rPr>
          <w:lang w:val="en-US" w:eastAsia="zh-CN"/>
        </w:rPr>
        <w:t xml:space="preserve">. </w:t>
      </w:r>
      <w:r w:rsidR="00F81435">
        <w:rPr>
          <w:lang w:val="en-US" w:eastAsia="zh-CN"/>
        </w:rPr>
        <w:t xml:space="preserve">Storing and activating SCG </w:t>
      </w:r>
      <w:r w:rsidR="00783930">
        <w:rPr>
          <w:lang w:val="en-US" w:eastAsia="zh-CN"/>
        </w:rPr>
        <w:t>is</w:t>
      </w:r>
      <w:r w:rsidR="00F81435">
        <w:rPr>
          <w:lang w:val="en-US" w:eastAsia="zh-CN"/>
        </w:rPr>
        <w:t xml:space="preserve"> also</w:t>
      </w:r>
      <w:r w:rsidR="00783930">
        <w:rPr>
          <w:lang w:val="en-US" w:eastAsia="zh-CN"/>
        </w:rPr>
        <w:t xml:space="preserve"> </w:t>
      </w:r>
      <w:r w:rsidR="001453A4" w:rsidRPr="00351A96">
        <w:rPr>
          <w:lang w:val="en-US" w:eastAsia="zh-CN"/>
        </w:rPr>
        <w:t>related to conditional SCG addition (CPAC)</w:t>
      </w:r>
      <w:r w:rsidRPr="00351A96">
        <w:rPr>
          <w:lang w:val="en-US" w:eastAsia="zh-CN"/>
        </w:rPr>
        <w:t>.</w:t>
      </w:r>
      <w:r w:rsidR="004B5900">
        <w:rPr>
          <w:lang w:val="en-US" w:eastAsia="zh-CN"/>
        </w:rPr>
        <w:t xml:space="preserve"> </w:t>
      </w:r>
      <w:r w:rsidR="00D16B0B">
        <w:rPr>
          <w:lang w:val="en-US" w:eastAsia="zh-CN"/>
        </w:rPr>
        <w:t>Various s</w:t>
      </w:r>
      <w:r w:rsidR="004B5900">
        <w:rPr>
          <w:lang w:val="en-US" w:eastAsia="zh-CN"/>
        </w:rPr>
        <w:t xml:space="preserve">olutions </w:t>
      </w:r>
      <w:r w:rsidR="00F81435">
        <w:rPr>
          <w:lang w:val="en-US" w:eastAsia="zh-CN"/>
        </w:rPr>
        <w:t xml:space="preserve">for storing SCG </w:t>
      </w:r>
      <w:r w:rsidR="004B5900">
        <w:rPr>
          <w:lang w:val="en-US" w:eastAsia="zh-CN"/>
        </w:rPr>
        <w:t>were proposed in</w:t>
      </w:r>
      <w:r w:rsidR="00D31460">
        <w:rPr>
          <w:lang w:val="en-US" w:eastAsia="zh-CN"/>
        </w:rPr>
        <w:t xml:space="preserve"> </w:t>
      </w:r>
      <w:r w:rsidR="00D31460">
        <w:rPr>
          <w:lang w:val="en-US" w:eastAsia="zh-CN"/>
        </w:rPr>
        <w:fldChar w:fldCharType="begin"/>
      </w:r>
      <w:r w:rsidR="00D31460">
        <w:rPr>
          <w:lang w:val="en-US" w:eastAsia="zh-CN"/>
        </w:rPr>
        <w:instrText xml:space="preserve"> REF _Ref47540469 \n \h </w:instrText>
      </w:r>
      <w:r w:rsidR="00D31460">
        <w:rPr>
          <w:lang w:val="en-US" w:eastAsia="zh-CN"/>
        </w:rPr>
      </w:r>
      <w:r w:rsidR="00D31460">
        <w:rPr>
          <w:lang w:val="en-US" w:eastAsia="zh-CN"/>
        </w:rPr>
        <w:fldChar w:fldCharType="separate"/>
      </w:r>
      <w:r w:rsidR="00D31460">
        <w:rPr>
          <w:lang w:val="en-US" w:eastAsia="zh-CN"/>
        </w:rPr>
        <w:t>[3]</w:t>
      </w:r>
      <w:r w:rsidR="00D31460">
        <w:rPr>
          <w:lang w:val="en-US" w:eastAsia="zh-CN"/>
        </w:rPr>
        <w:fldChar w:fldCharType="end"/>
      </w:r>
      <w:r w:rsidR="00D31460">
        <w:rPr>
          <w:lang w:val="en-US" w:eastAsia="zh-CN"/>
        </w:rPr>
        <w:fldChar w:fldCharType="begin"/>
      </w:r>
      <w:r w:rsidR="00D31460">
        <w:rPr>
          <w:lang w:val="en-US" w:eastAsia="zh-CN"/>
        </w:rPr>
        <w:instrText xml:space="preserve"> REF _Ref47540472 \n \h </w:instrText>
      </w:r>
      <w:r w:rsidR="00D31460">
        <w:rPr>
          <w:lang w:val="en-US" w:eastAsia="zh-CN"/>
        </w:rPr>
      </w:r>
      <w:r w:rsidR="00D31460">
        <w:rPr>
          <w:lang w:val="en-US" w:eastAsia="zh-CN"/>
        </w:rPr>
        <w:fldChar w:fldCharType="separate"/>
      </w:r>
      <w:r w:rsidR="00D31460">
        <w:rPr>
          <w:lang w:val="en-US" w:eastAsia="zh-CN"/>
        </w:rPr>
        <w:t>[4]</w:t>
      </w:r>
      <w:r w:rsidR="00D31460">
        <w:rPr>
          <w:lang w:val="en-US" w:eastAsia="zh-CN"/>
        </w:rPr>
        <w:fldChar w:fldCharType="end"/>
      </w:r>
      <w:r w:rsidR="00D31460">
        <w:rPr>
          <w:lang w:val="en-US" w:eastAsia="zh-CN"/>
        </w:rPr>
        <w:fldChar w:fldCharType="begin"/>
      </w:r>
      <w:r w:rsidR="00D31460">
        <w:rPr>
          <w:lang w:val="en-US" w:eastAsia="zh-CN"/>
        </w:rPr>
        <w:instrText xml:space="preserve"> REF _Ref47540475 \n \h </w:instrText>
      </w:r>
      <w:r w:rsidR="00D31460">
        <w:rPr>
          <w:lang w:val="en-US" w:eastAsia="zh-CN"/>
        </w:rPr>
      </w:r>
      <w:r w:rsidR="00D31460">
        <w:rPr>
          <w:lang w:val="en-US" w:eastAsia="zh-CN"/>
        </w:rPr>
        <w:fldChar w:fldCharType="separate"/>
      </w:r>
      <w:r w:rsidR="00D31460">
        <w:rPr>
          <w:lang w:val="en-US" w:eastAsia="zh-CN"/>
        </w:rPr>
        <w:t>[5]</w:t>
      </w:r>
      <w:r w:rsidR="00D31460">
        <w:rPr>
          <w:lang w:val="en-US" w:eastAsia="zh-CN"/>
        </w:rPr>
        <w:fldChar w:fldCharType="end"/>
      </w:r>
      <w:r w:rsidR="001453A4" w:rsidRPr="00351A96">
        <w:rPr>
          <w:lang w:val="en-US" w:eastAsia="zh-CN"/>
        </w:rPr>
        <w:t>.</w:t>
      </w:r>
    </w:p>
    <w:p w14:paraId="7120CBCB" w14:textId="70262D4F" w:rsidR="006C512B" w:rsidRPr="005F523D" w:rsidRDefault="006C512B" w:rsidP="007A0373">
      <w:pPr>
        <w:pStyle w:val="Doc-text2"/>
        <w:numPr>
          <w:ilvl w:val="1"/>
          <w:numId w:val="46"/>
        </w:numPr>
        <w:rPr>
          <w:lang w:val="en-US"/>
        </w:rPr>
      </w:pPr>
      <w:r w:rsidRPr="005F523D">
        <w:rPr>
          <w:lang w:val="en-US"/>
        </w:rPr>
        <w:t xml:space="preserve">Complexity: </w:t>
      </w:r>
      <w:r w:rsidR="00AD2EA5">
        <w:rPr>
          <w:lang w:val="en-US"/>
        </w:rPr>
        <w:t>Low to Medium depending a bit on the realization.</w:t>
      </w:r>
    </w:p>
    <w:p w14:paraId="01C6AD07" w14:textId="7BA2724F" w:rsidR="0012008D" w:rsidRDefault="006C512B" w:rsidP="007A0373">
      <w:pPr>
        <w:pStyle w:val="Doc-text2"/>
        <w:numPr>
          <w:ilvl w:val="1"/>
          <w:numId w:val="46"/>
        </w:numPr>
      </w:pPr>
      <w:r>
        <w:t>Performance</w:t>
      </w:r>
      <w:r w:rsidR="0012008D">
        <w:t xml:space="preserve">: </w:t>
      </w:r>
    </w:p>
    <w:p w14:paraId="2BBC6656" w14:textId="219715F4" w:rsidR="00D16B0B" w:rsidRPr="00351A96" w:rsidRDefault="00D16B0B" w:rsidP="00D16B0B">
      <w:pPr>
        <w:pStyle w:val="Doc-text2"/>
        <w:numPr>
          <w:ilvl w:val="2"/>
          <w:numId w:val="46"/>
        </w:numPr>
        <w:rPr>
          <w:lang w:val="en-US"/>
        </w:rPr>
      </w:pPr>
      <w:r>
        <w:rPr>
          <w:lang w:val="en-US"/>
        </w:rPr>
        <w:t xml:space="preserve">Power saving </w:t>
      </w:r>
      <w:r w:rsidR="00AD2EA5">
        <w:rPr>
          <w:lang w:val="en-US"/>
        </w:rPr>
        <w:t xml:space="preserve">is equivalent to that of SCG release, depending a bit on the realization, e.g. whether </w:t>
      </w:r>
      <w:r w:rsidR="009033FC">
        <w:rPr>
          <w:lang w:val="en-US"/>
        </w:rPr>
        <w:t xml:space="preserve">and how </w:t>
      </w:r>
      <w:r>
        <w:rPr>
          <w:lang w:val="en-US"/>
        </w:rPr>
        <w:t>RRM</w:t>
      </w:r>
      <w:r w:rsidR="00AD2EA5">
        <w:rPr>
          <w:lang w:val="en-US"/>
        </w:rPr>
        <w:t xml:space="preserve"> and/or</w:t>
      </w:r>
      <w:r>
        <w:rPr>
          <w:lang w:val="en-US"/>
        </w:rPr>
        <w:t xml:space="preserve"> RLM</w:t>
      </w:r>
      <w:r w:rsidR="00AD2EA5">
        <w:rPr>
          <w:lang w:val="en-US"/>
        </w:rPr>
        <w:t xml:space="preserve"> is supported. </w:t>
      </w:r>
    </w:p>
    <w:p w14:paraId="76748219" w14:textId="268FC0BB" w:rsidR="004F2006" w:rsidRPr="00D16B0B" w:rsidRDefault="00D16B0B" w:rsidP="007A0373">
      <w:pPr>
        <w:pStyle w:val="Doc-text2"/>
        <w:numPr>
          <w:ilvl w:val="2"/>
          <w:numId w:val="46"/>
        </w:numPr>
        <w:rPr>
          <w:lang w:val="fi-FI"/>
        </w:rPr>
      </w:pPr>
      <w:r>
        <w:rPr>
          <w:lang w:val="fi-FI"/>
        </w:rPr>
        <w:t>L</w:t>
      </w:r>
      <w:r w:rsidR="005D6B20">
        <w:rPr>
          <w:lang w:val="fi-FI"/>
        </w:rPr>
        <w:t xml:space="preserve">atency </w:t>
      </w:r>
      <w:r w:rsidR="009033FC">
        <w:rPr>
          <w:lang w:val="fi-FI"/>
        </w:rPr>
        <w:t xml:space="preserve">will </w:t>
      </w:r>
      <w:r w:rsidR="004F2006">
        <w:rPr>
          <w:lang w:val="fi-FI"/>
        </w:rPr>
        <w:t xml:space="preserve">depend on </w:t>
      </w:r>
      <w:r w:rsidR="009033FC">
        <w:rPr>
          <w:lang w:val="fi-FI"/>
        </w:rPr>
        <w:t xml:space="preserve">defined </w:t>
      </w:r>
      <w:r w:rsidR="004F2006">
        <w:rPr>
          <w:lang w:val="fi-FI"/>
        </w:rPr>
        <w:t>UE behavior</w:t>
      </w:r>
      <w:r w:rsidR="00AD2EA5">
        <w:rPr>
          <w:lang w:val="fi-FI"/>
        </w:rPr>
        <w:t>.</w:t>
      </w:r>
    </w:p>
    <w:p w14:paraId="19E08D02" w14:textId="1C58E840" w:rsidR="00D31460" w:rsidRDefault="001D05A0" w:rsidP="00807F95">
      <w:pPr>
        <w:pStyle w:val="Doc-text2"/>
        <w:numPr>
          <w:ilvl w:val="0"/>
          <w:numId w:val="46"/>
        </w:numPr>
        <w:rPr>
          <w:lang w:val="en-US" w:eastAsia="zh-CN"/>
        </w:rPr>
      </w:pPr>
      <w:r w:rsidRPr="00351A96">
        <w:rPr>
          <w:b/>
          <w:bCs/>
          <w:lang w:val="en-US"/>
        </w:rPr>
        <w:t xml:space="preserve">Dormant </w:t>
      </w:r>
      <w:r w:rsidR="004D18FD">
        <w:rPr>
          <w:b/>
          <w:lang w:val="en-US"/>
        </w:rPr>
        <w:t>PSCell</w:t>
      </w:r>
      <w:r w:rsidRPr="00351A96">
        <w:rPr>
          <w:lang w:val="en-US" w:eastAsia="zh-CN"/>
        </w:rPr>
        <w:t xml:space="preserve">. </w:t>
      </w:r>
      <w:r w:rsidR="00AD2EA5">
        <w:rPr>
          <w:lang w:val="en-US" w:eastAsia="zh-CN"/>
        </w:rPr>
        <w:t>I</w:t>
      </w:r>
      <w:r w:rsidR="007A0373" w:rsidRPr="00351A96">
        <w:rPr>
          <w:lang w:val="en-US" w:eastAsia="zh-CN"/>
        </w:rPr>
        <w:t>n general this would mean to introduce dormancy for PSCell, similar to what was done in Rel-16 for dormant SCell</w:t>
      </w:r>
      <w:r w:rsidR="00256018">
        <w:rPr>
          <w:lang w:val="en-US" w:eastAsia="zh-CN"/>
        </w:rPr>
        <w:t xml:space="preserve">, meaning that the </w:t>
      </w:r>
      <w:r w:rsidR="00256018" w:rsidRPr="00256018">
        <w:rPr>
          <w:lang w:val="en-US" w:eastAsia="zh-CN"/>
        </w:rPr>
        <w:t>UE stop</w:t>
      </w:r>
      <w:r w:rsidR="00256018">
        <w:rPr>
          <w:lang w:val="en-US" w:eastAsia="zh-CN"/>
        </w:rPr>
        <w:t>s</w:t>
      </w:r>
      <w:r w:rsidR="00256018" w:rsidRPr="00256018">
        <w:rPr>
          <w:lang w:val="en-US" w:eastAsia="zh-CN"/>
        </w:rPr>
        <w:t xml:space="preserve"> monitoring PDCCH</w:t>
      </w:r>
      <w:r w:rsidR="00256018">
        <w:rPr>
          <w:lang w:val="en-US" w:eastAsia="zh-CN"/>
        </w:rPr>
        <w:t xml:space="preserve"> of dormant PSCell,</w:t>
      </w:r>
      <w:r w:rsidR="00256018" w:rsidRPr="00256018">
        <w:rPr>
          <w:lang w:val="en-US" w:eastAsia="zh-CN"/>
        </w:rPr>
        <w:t xml:space="preserve"> but continue</w:t>
      </w:r>
      <w:r w:rsidR="00256018">
        <w:rPr>
          <w:lang w:val="en-US" w:eastAsia="zh-CN"/>
        </w:rPr>
        <w:t>s</w:t>
      </w:r>
      <w:r w:rsidR="00256018" w:rsidRPr="00256018">
        <w:rPr>
          <w:lang w:val="en-US" w:eastAsia="zh-CN"/>
        </w:rPr>
        <w:t xml:space="preserve"> with CSI measurements, RRM measurements and beam management</w:t>
      </w:r>
      <w:r w:rsidR="00256018">
        <w:rPr>
          <w:lang w:val="en-US" w:eastAsia="zh-CN"/>
        </w:rPr>
        <w:t>.</w:t>
      </w:r>
      <w:r w:rsidR="00256018" w:rsidRPr="00256018">
        <w:rPr>
          <w:lang w:val="en-US" w:eastAsia="zh-CN"/>
        </w:rPr>
        <w:t xml:space="preserve"> </w:t>
      </w:r>
      <w:r w:rsidR="008B080F">
        <w:rPr>
          <w:lang w:val="en-US" w:eastAsia="zh-CN"/>
        </w:rPr>
        <w:t>V</w:t>
      </w:r>
      <w:r w:rsidR="002F3EC2">
        <w:rPr>
          <w:lang w:val="en-US" w:eastAsia="zh-CN"/>
        </w:rPr>
        <w:t xml:space="preserve">ariants of this general approach were </w:t>
      </w:r>
      <w:r w:rsidR="00D31460">
        <w:rPr>
          <w:lang w:val="en-US" w:eastAsia="zh-CN"/>
        </w:rPr>
        <w:t xml:space="preserve">proposed in </w:t>
      </w:r>
      <w:r w:rsidR="002F3EC2">
        <w:rPr>
          <w:lang w:val="en-US" w:eastAsia="zh-CN"/>
        </w:rPr>
        <w:fldChar w:fldCharType="begin"/>
      </w:r>
      <w:r w:rsidR="002F3EC2">
        <w:rPr>
          <w:lang w:val="en-US" w:eastAsia="zh-CN"/>
        </w:rPr>
        <w:instrText xml:space="preserve"> REF _Ref47542072 \n \h </w:instrText>
      </w:r>
      <w:r w:rsidR="002F3EC2">
        <w:rPr>
          <w:lang w:val="en-US" w:eastAsia="zh-CN"/>
        </w:rPr>
      </w:r>
      <w:r w:rsidR="002F3EC2">
        <w:rPr>
          <w:lang w:val="en-US" w:eastAsia="zh-CN"/>
        </w:rPr>
        <w:fldChar w:fldCharType="separate"/>
      </w:r>
      <w:r w:rsidR="002F3EC2">
        <w:rPr>
          <w:lang w:val="en-US" w:eastAsia="zh-CN"/>
        </w:rPr>
        <w:t>[6]</w:t>
      </w:r>
      <w:r w:rsidR="002F3EC2">
        <w:rPr>
          <w:lang w:val="en-US" w:eastAsia="zh-CN"/>
        </w:rPr>
        <w:fldChar w:fldCharType="end"/>
      </w:r>
      <w:r w:rsidR="002F3EC2">
        <w:rPr>
          <w:lang w:val="en-US" w:eastAsia="zh-CN"/>
        </w:rPr>
        <w:fldChar w:fldCharType="begin"/>
      </w:r>
      <w:r w:rsidR="002F3EC2">
        <w:rPr>
          <w:lang w:val="en-US" w:eastAsia="zh-CN"/>
        </w:rPr>
        <w:instrText xml:space="preserve"> REF _Ref47542075 \n \h </w:instrText>
      </w:r>
      <w:r w:rsidR="002F3EC2">
        <w:rPr>
          <w:lang w:val="en-US" w:eastAsia="zh-CN"/>
        </w:rPr>
      </w:r>
      <w:r w:rsidR="002F3EC2">
        <w:rPr>
          <w:lang w:val="en-US" w:eastAsia="zh-CN"/>
        </w:rPr>
        <w:fldChar w:fldCharType="separate"/>
      </w:r>
      <w:r w:rsidR="002F3EC2">
        <w:rPr>
          <w:lang w:val="en-US" w:eastAsia="zh-CN"/>
        </w:rPr>
        <w:t>[7]</w:t>
      </w:r>
      <w:r w:rsidR="002F3EC2">
        <w:rPr>
          <w:lang w:val="en-US" w:eastAsia="zh-CN"/>
        </w:rPr>
        <w:fldChar w:fldCharType="end"/>
      </w:r>
      <w:r w:rsidR="002F3EC2">
        <w:rPr>
          <w:lang w:val="en-US" w:eastAsia="zh-CN"/>
        </w:rPr>
        <w:fldChar w:fldCharType="begin"/>
      </w:r>
      <w:r w:rsidR="002F3EC2">
        <w:rPr>
          <w:lang w:val="en-US" w:eastAsia="zh-CN"/>
        </w:rPr>
        <w:instrText xml:space="preserve"> REF _Ref47542077 \n \h </w:instrText>
      </w:r>
      <w:r w:rsidR="002F3EC2">
        <w:rPr>
          <w:lang w:val="en-US" w:eastAsia="zh-CN"/>
        </w:rPr>
      </w:r>
      <w:r w:rsidR="002F3EC2">
        <w:rPr>
          <w:lang w:val="en-US" w:eastAsia="zh-CN"/>
        </w:rPr>
        <w:fldChar w:fldCharType="separate"/>
      </w:r>
      <w:r w:rsidR="002F3EC2">
        <w:rPr>
          <w:lang w:val="en-US" w:eastAsia="zh-CN"/>
        </w:rPr>
        <w:t>[8]</w:t>
      </w:r>
      <w:r w:rsidR="002F3EC2">
        <w:rPr>
          <w:lang w:val="en-US" w:eastAsia="zh-CN"/>
        </w:rPr>
        <w:fldChar w:fldCharType="end"/>
      </w:r>
      <w:r w:rsidR="002F3EC2">
        <w:rPr>
          <w:lang w:val="en-US" w:eastAsia="zh-CN"/>
        </w:rPr>
        <w:fldChar w:fldCharType="begin"/>
      </w:r>
      <w:r w:rsidR="002F3EC2">
        <w:rPr>
          <w:lang w:val="en-US" w:eastAsia="zh-CN"/>
        </w:rPr>
        <w:instrText xml:space="preserve"> REF _Ref47542080 \n \h </w:instrText>
      </w:r>
      <w:r w:rsidR="002F3EC2">
        <w:rPr>
          <w:lang w:val="en-US" w:eastAsia="zh-CN"/>
        </w:rPr>
      </w:r>
      <w:r w:rsidR="002F3EC2">
        <w:rPr>
          <w:lang w:val="en-US" w:eastAsia="zh-CN"/>
        </w:rPr>
        <w:fldChar w:fldCharType="separate"/>
      </w:r>
      <w:r w:rsidR="002F3EC2">
        <w:rPr>
          <w:lang w:val="en-US" w:eastAsia="zh-CN"/>
        </w:rPr>
        <w:t>[9]</w:t>
      </w:r>
      <w:r w:rsidR="002F3EC2">
        <w:rPr>
          <w:lang w:val="en-US" w:eastAsia="zh-CN"/>
        </w:rPr>
        <w:fldChar w:fldCharType="end"/>
      </w:r>
      <w:r w:rsidR="002F3EC2">
        <w:rPr>
          <w:lang w:val="en-US" w:eastAsia="zh-CN"/>
        </w:rPr>
        <w:fldChar w:fldCharType="begin"/>
      </w:r>
      <w:r w:rsidR="002F3EC2">
        <w:rPr>
          <w:lang w:val="en-US" w:eastAsia="zh-CN"/>
        </w:rPr>
        <w:instrText xml:space="preserve"> REF _Ref47542082 \n \h </w:instrText>
      </w:r>
      <w:r w:rsidR="002F3EC2">
        <w:rPr>
          <w:lang w:val="en-US" w:eastAsia="zh-CN"/>
        </w:rPr>
      </w:r>
      <w:r w:rsidR="002F3EC2">
        <w:rPr>
          <w:lang w:val="en-US" w:eastAsia="zh-CN"/>
        </w:rPr>
        <w:fldChar w:fldCharType="separate"/>
      </w:r>
      <w:r w:rsidR="002F3EC2">
        <w:rPr>
          <w:lang w:val="en-US" w:eastAsia="zh-CN"/>
        </w:rPr>
        <w:t>[10]</w:t>
      </w:r>
      <w:r w:rsidR="002F3EC2">
        <w:rPr>
          <w:lang w:val="en-US" w:eastAsia="zh-CN"/>
        </w:rPr>
        <w:fldChar w:fldCharType="end"/>
      </w:r>
      <w:r w:rsidR="002F3EC2">
        <w:rPr>
          <w:lang w:val="en-US" w:eastAsia="zh-CN"/>
        </w:rPr>
        <w:fldChar w:fldCharType="begin"/>
      </w:r>
      <w:r w:rsidR="002F3EC2">
        <w:rPr>
          <w:lang w:val="en-US" w:eastAsia="zh-CN"/>
        </w:rPr>
        <w:instrText xml:space="preserve"> REF _Ref47542085 \n \h </w:instrText>
      </w:r>
      <w:r w:rsidR="002F3EC2">
        <w:rPr>
          <w:lang w:val="en-US" w:eastAsia="zh-CN"/>
        </w:rPr>
      </w:r>
      <w:r w:rsidR="002F3EC2">
        <w:rPr>
          <w:lang w:val="en-US" w:eastAsia="zh-CN"/>
        </w:rPr>
        <w:fldChar w:fldCharType="separate"/>
      </w:r>
      <w:r w:rsidR="002F3EC2">
        <w:rPr>
          <w:lang w:val="en-US" w:eastAsia="zh-CN"/>
        </w:rPr>
        <w:t>[11]</w:t>
      </w:r>
      <w:r w:rsidR="002F3EC2">
        <w:rPr>
          <w:lang w:val="en-US" w:eastAsia="zh-CN"/>
        </w:rPr>
        <w:fldChar w:fldCharType="end"/>
      </w:r>
      <w:r w:rsidR="002F3EC2">
        <w:rPr>
          <w:lang w:val="en-US" w:eastAsia="zh-CN"/>
        </w:rPr>
        <w:t>.</w:t>
      </w:r>
    </w:p>
    <w:p w14:paraId="0D6712FD" w14:textId="6A6D6D5D" w:rsidR="006C512B" w:rsidRPr="00351A96" w:rsidRDefault="006C512B" w:rsidP="006C512B">
      <w:pPr>
        <w:pStyle w:val="Doc-text2"/>
        <w:numPr>
          <w:ilvl w:val="1"/>
          <w:numId w:val="46"/>
        </w:numPr>
        <w:rPr>
          <w:lang w:val="en-US"/>
        </w:rPr>
      </w:pPr>
      <w:r w:rsidRPr="00351A96">
        <w:rPr>
          <w:lang w:val="en-US"/>
        </w:rPr>
        <w:t>Complexity: Depends on solution selected, but can be expected to be higher than the two previous alternatives</w:t>
      </w:r>
    </w:p>
    <w:p w14:paraId="2C2881C8" w14:textId="77777777" w:rsidR="00F81435" w:rsidRDefault="006C512B" w:rsidP="006C512B">
      <w:pPr>
        <w:pStyle w:val="Doc-text2"/>
        <w:numPr>
          <w:ilvl w:val="1"/>
          <w:numId w:val="46"/>
        </w:numPr>
        <w:rPr>
          <w:lang w:val="en-US" w:eastAsia="zh-CN"/>
        </w:rPr>
      </w:pPr>
      <w:r>
        <w:rPr>
          <w:lang w:val="en-US" w:eastAsia="zh-CN"/>
        </w:rPr>
        <w:t xml:space="preserve">Performance: </w:t>
      </w:r>
    </w:p>
    <w:p w14:paraId="4165B083" w14:textId="5CC291D0" w:rsidR="00D52B50" w:rsidRDefault="00F81435" w:rsidP="00F81435">
      <w:pPr>
        <w:pStyle w:val="Doc-text2"/>
        <w:numPr>
          <w:ilvl w:val="2"/>
          <w:numId w:val="46"/>
        </w:numPr>
        <w:rPr>
          <w:lang w:val="en-US" w:eastAsia="zh-CN"/>
        </w:rPr>
      </w:pPr>
      <w:r>
        <w:rPr>
          <w:lang w:val="en-US" w:eastAsia="zh-CN"/>
        </w:rPr>
        <w:t xml:space="preserve">Power saving </w:t>
      </w:r>
      <w:r w:rsidR="00D52B50">
        <w:rPr>
          <w:lang w:val="en-US" w:eastAsia="zh-CN"/>
        </w:rPr>
        <w:t xml:space="preserve">compared to released SCG </w:t>
      </w:r>
      <w:r>
        <w:rPr>
          <w:lang w:val="en-US" w:eastAsia="zh-CN"/>
        </w:rPr>
        <w:t>w</w:t>
      </w:r>
      <w:r w:rsidR="00D52B50">
        <w:rPr>
          <w:lang w:val="en-US" w:eastAsia="zh-CN"/>
        </w:rPr>
        <w:t>ould</w:t>
      </w:r>
      <w:r>
        <w:rPr>
          <w:lang w:val="en-US" w:eastAsia="zh-CN"/>
        </w:rPr>
        <w:t xml:space="preserve"> be negatively affected </w:t>
      </w:r>
      <w:r w:rsidR="00D52B50">
        <w:rPr>
          <w:lang w:val="en-US" w:eastAsia="zh-CN"/>
        </w:rPr>
        <w:t xml:space="preserve">by </w:t>
      </w:r>
      <w:r w:rsidR="008B080F">
        <w:rPr>
          <w:lang w:val="en-US" w:eastAsia="zh-CN"/>
        </w:rPr>
        <w:t xml:space="preserve">e.g. </w:t>
      </w:r>
      <w:r w:rsidR="00D52B50">
        <w:rPr>
          <w:lang w:val="en-US" w:eastAsia="zh-CN"/>
        </w:rPr>
        <w:t>CSI measurements and beam management.</w:t>
      </w:r>
    </w:p>
    <w:p w14:paraId="091F35FE" w14:textId="030BF62D" w:rsidR="006C512B" w:rsidRDefault="009033FC" w:rsidP="00F81435">
      <w:pPr>
        <w:pStyle w:val="Doc-text2"/>
        <w:numPr>
          <w:ilvl w:val="2"/>
          <w:numId w:val="46"/>
        </w:numPr>
        <w:rPr>
          <w:lang w:val="en-US" w:eastAsia="zh-CN"/>
        </w:rPr>
      </w:pPr>
      <w:r>
        <w:rPr>
          <w:lang w:val="en-US" w:eastAsia="zh-CN"/>
        </w:rPr>
        <w:t>Latency will depend on defined UE behavior.</w:t>
      </w:r>
    </w:p>
    <w:p w14:paraId="602FDA90" w14:textId="2E420EFF" w:rsidR="00365A7D" w:rsidRDefault="00365A7D" w:rsidP="00365A7D">
      <w:pPr>
        <w:pStyle w:val="BodyText"/>
        <w:rPr>
          <w:lang w:val="en-US"/>
        </w:rPr>
      </w:pPr>
      <w:r w:rsidRPr="00F61B34">
        <w:rPr>
          <w:lang w:val="en-US"/>
        </w:rPr>
        <w:t xml:space="preserve">In order to end up with a solution which will have a chance of being implemented by UEs and networks, it </w:t>
      </w:r>
      <w:r>
        <w:rPr>
          <w:lang w:val="en-US"/>
        </w:rPr>
        <w:t xml:space="preserve">seems </w:t>
      </w:r>
      <w:r w:rsidRPr="00F61B34">
        <w:rPr>
          <w:lang w:val="en-US"/>
        </w:rPr>
        <w:t xml:space="preserve">most important to consider a solution with </w:t>
      </w:r>
      <w:r>
        <w:rPr>
          <w:lang w:val="en-US"/>
        </w:rPr>
        <w:t>moderate</w:t>
      </w:r>
      <w:r w:rsidRPr="00F61B34">
        <w:rPr>
          <w:lang w:val="en-US"/>
        </w:rPr>
        <w:t xml:space="preserve"> complexity</w:t>
      </w:r>
      <w:r>
        <w:rPr>
          <w:lang w:val="en-US"/>
        </w:rPr>
        <w:t>, still providing acceptable performance improvement in terms of power saving and latency compared to legacy solutions</w:t>
      </w:r>
      <w:r w:rsidRPr="00F61B34">
        <w:rPr>
          <w:lang w:val="en-US"/>
        </w:rPr>
        <w:t xml:space="preserve">. </w:t>
      </w:r>
      <w:r>
        <w:rPr>
          <w:lang w:val="en-US"/>
        </w:rPr>
        <w:t xml:space="preserve">Especially, </w:t>
      </w:r>
      <w:r>
        <w:rPr>
          <w:lang w:val="en-US" w:eastAsia="zh-CN"/>
        </w:rPr>
        <w:t xml:space="preserve">care must be taken not to create an overly complex solution for minimal performance gains. </w:t>
      </w:r>
      <w:r w:rsidRPr="00F61B34">
        <w:rPr>
          <w:lang w:val="en-US"/>
        </w:rPr>
        <w:t>Further, only one solution should be specified to avoid market fragmentation.</w:t>
      </w:r>
    </w:p>
    <w:p w14:paraId="2D334BD7" w14:textId="63BB91B5" w:rsidR="00C21B22" w:rsidRPr="002D68B7" w:rsidRDefault="00C21B22" w:rsidP="00C21B22">
      <w:pPr>
        <w:pStyle w:val="Proposal"/>
        <w:rPr>
          <w:lang w:val="en-US" w:eastAsia="zh-CN"/>
        </w:rPr>
      </w:pPr>
      <w:bookmarkStart w:id="36" w:name="_Toc47383592"/>
      <w:bookmarkStart w:id="37" w:name="_Toc47452080"/>
      <w:bookmarkStart w:id="38" w:name="_Toc47534329"/>
      <w:bookmarkStart w:id="39" w:name="_Toc47538361"/>
      <w:bookmarkStart w:id="40" w:name="_Toc47556528"/>
      <w:bookmarkStart w:id="41" w:name="_Toc47556712"/>
      <w:bookmarkStart w:id="42" w:name="_Toc47610774"/>
      <w:bookmarkStart w:id="43" w:name="_Toc47611996"/>
      <w:bookmarkStart w:id="44" w:name="_Toc47635614"/>
      <w:bookmarkStart w:id="45" w:name="_Toc47637952"/>
      <w:bookmarkStart w:id="46" w:name="_GoBack"/>
      <w:r>
        <w:rPr>
          <w:lang w:val="en-US" w:eastAsia="zh-CN"/>
        </w:rPr>
        <w:t xml:space="preserve">Only one solution </w:t>
      </w:r>
      <w:r w:rsidR="00365A7D">
        <w:rPr>
          <w:lang w:val="en-US" w:eastAsia="zh-CN"/>
        </w:rPr>
        <w:t xml:space="preserve">with low complexity </w:t>
      </w:r>
      <w:r>
        <w:rPr>
          <w:lang w:val="en-US" w:eastAsia="zh-CN"/>
        </w:rPr>
        <w:t xml:space="preserve">should be specified for efficient SCG </w:t>
      </w:r>
      <w:bookmarkEnd w:id="46"/>
      <w:r>
        <w:rPr>
          <w:lang w:val="en-US" w:eastAsia="zh-CN"/>
        </w:rPr>
        <w:t>(de)activation.</w:t>
      </w:r>
      <w:bookmarkEnd w:id="36"/>
      <w:bookmarkEnd w:id="37"/>
      <w:bookmarkEnd w:id="38"/>
      <w:bookmarkEnd w:id="39"/>
      <w:bookmarkEnd w:id="40"/>
      <w:bookmarkEnd w:id="41"/>
      <w:bookmarkEnd w:id="42"/>
      <w:bookmarkEnd w:id="43"/>
      <w:bookmarkEnd w:id="44"/>
      <w:bookmarkEnd w:id="45"/>
    </w:p>
    <w:p w14:paraId="4D12F92E" w14:textId="490FF17C" w:rsidR="00C62162" w:rsidRDefault="003874FA" w:rsidP="00C62162">
      <w:pPr>
        <w:pStyle w:val="Heading2"/>
      </w:pPr>
      <w:r>
        <w:t xml:space="preserve">General aspects of deactivated </w:t>
      </w:r>
      <w:r w:rsidR="00C62162">
        <w:t>SCG</w:t>
      </w:r>
    </w:p>
    <w:p w14:paraId="7187E03F" w14:textId="7B120BFF" w:rsidR="005D6B20" w:rsidRPr="008F0E3D" w:rsidRDefault="003874FA" w:rsidP="007A0680">
      <w:pPr>
        <w:pStyle w:val="Doc-text2"/>
        <w:tabs>
          <w:tab w:val="clear" w:pos="1622"/>
          <w:tab w:val="left" w:pos="1276"/>
        </w:tabs>
        <w:ind w:left="0" w:firstLine="0"/>
        <w:rPr>
          <w:lang w:val="en-US"/>
        </w:rPr>
      </w:pPr>
      <w:r w:rsidRPr="008F0E3D">
        <w:rPr>
          <w:lang w:val="en-US"/>
        </w:rPr>
        <w:t>Regardless</w:t>
      </w:r>
      <w:r w:rsidRPr="00351A96">
        <w:rPr>
          <w:lang w:val="en-US"/>
        </w:rPr>
        <w:t xml:space="preserve"> of the alternative selected </w:t>
      </w:r>
      <w:r w:rsidR="007A0680">
        <w:rPr>
          <w:lang w:val="en-US"/>
        </w:rPr>
        <w:t>in</w:t>
      </w:r>
      <w:r w:rsidRPr="00351A96">
        <w:rPr>
          <w:lang w:val="en-US"/>
        </w:rPr>
        <w:t xml:space="preserve"> section 2.3, th</w:t>
      </w:r>
      <w:r w:rsidR="007A0680">
        <w:rPr>
          <w:lang w:val="en-US"/>
        </w:rPr>
        <w:t xml:space="preserve">is section lists a set of common </w:t>
      </w:r>
      <w:r w:rsidR="00E05DFB">
        <w:rPr>
          <w:lang w:val="en-US"/>
        </w:rPr>
        <w:t>t</w:t>
      </w:r>
      <w:r w:rsidR="005D6B20" w:rsidRPr="00351A96">
        <w:rPr>
          <w:lang w:val="en-US"/>
        </w:rPr>
        <w:t xml:space="preserve">opics </w:t>
      </w:r>
      <w:r w:rsidR="007A0680">
        <w:rPr>
          <w:lang w:val="en-US"/>
        </w:rPr>
        <w:t>for deactivated SCG that are good</w:t>
      </w:r>
      <w:r w:rsidR="008B080F">
        <w:rPr>
          <w:lang w:val="en-US"/>
        </w:rPr>
        <w:t xml:space="preserve"> to</w:t>
      </w:r>
      <w:r w:rsidR="005D6B20" w:rsidRPr="00351A96">
        <w:rPr>
          <w:lang w:val="en-US"/>
        </w:rPr>
        <w:t xml:space="preserve"> discuss</w:t>
      </w:r>
      <w:r w:rsidR="008B080F">
        <w:rPr>
          <w:lang w:val="en-US"/>
        </w:rPr>
        <w:t>.</w:t>
      </w:r>
    </w:p>
    <w:p w14:paraId="1599E701" w14:textId="1861A84F" w:rsidR="003874FA" w:rsidRDefault="007A0680" w:rsidP="003874FA">
      <w:pPr>
        <w:pStyle w:val="Heading3"/>
      </w:pPr>
      <w:r>
        <w:lastRenderedPageBreak/>
        <w:t>T</w:t>
      </w:r>
      <w:r w:rsidR="003874FA">
        <w:t>ransmission</w:t>
      </w:r>
    </w:p>
    <w:p w14:paraId="396ED000" w14:textId="7F03F730" w:rsidR="00B33E51" w:rsidRDefault="00B33E51" w:rsidP="003874FA">
      <w:pPr>
        <w:pStyle w:val="Doc-text2"/>
        <w:ind w:left="0" w:firstLine="0"/>
        <w:rPr>
          <w:lang w:val="en-US"/>
        </w:rPr>
      </w:pPr>
      <w:r>
        <w:rPr>
          <w:lang w:val="en-US"/>
        </w:rPr>
        <w:t xml:space="preserve">In any of the SCG deactivation options above, one common behavior is that the UE will not transmit/receive data via the SCG while the SCG is deactivated. Thus, it can be assumed that the SCG deactivation, regardless of which option is used, will result in the suspension of </w:t>
      </w:r>
      <w:r w:rsidR="003874FA">
        <w:rPr>
          <w:lang w:val="en-US"/>
        </w:rPr>
        <w:t xml:space="preserve">traffic for all SRBs and DRBs on </w:t>
      </w:r>
      <w:r>
        <w:rPr>
          <w:lang w:val="en-US"/>
        </w:rPr>
        <w:t>the SCG</w:t>
      </w:r>
      <w:r w:rsidR="003874FA">
        <w:rPr>
          <w:lang w:val="en-US"/>
        </w:rPr>
        <w:t xml:space="preserve">. This follows the same principle as applied </w:t>
      </w:r>
      <w:r>
        <w:rPr>
          <w:lang w:val="en-US"/>
        </w:rPr>
        <w:t xml:space="preserve">during </w:t>
      </w:r>
      <w:r w:rsidR="003874FA">
        <w:rPr>
          <w:lang w:val="en-US"/>
        </w:rPr>
        <w:t>MCG/</w:t>
      </w:r>
      <w:r>
        <w:rPr>
          <w:lang w:val="en-US"/>
        </w:rPr>
        <w:t xml:space="preserve">SCG failure recovery. </w:t>
      </w:r>
    </w:p>
    <w:p w14:paraId="4846F29F" w14:textId="374609C7" w:rsidR="00B33E51" w:rsidRPr="00351A96" w:rsidRDefault="00B33E51" w:rsidP="003874FA">
      <w:pPr>
        <w:pStyle w:val="Proposal"/>
        <w:rPr>
          <w:lang w:val="en-US"/>
        </w:rPr>
      </w:pPr>
      <w:bookmarkStart w:id="47" w:name="_Toc47358553"/>
      <w:bookmarkStart w:id="48" w:name="_Toc47359903"/>
      <w:bookmarkStart w:id="49" w:name="_Toc47359922"/>
      <w:bookmarkStart w:id="50" w:name="_Toc47372161"/>
      <w:bookmarkStart w:id="51" w:name="_Toc47372375"/>
      <w:bookmarkStart w:id="52" w:name="_Toc47383593"/>
      <w:bookmarkStart w:id="53" w:name="_Toc47452081"/>
      <w:bookmarkStart w:id="54" w:name="_Toc47534330"/>
      <w:bookmarkStart w:id="55" w:name="_Toc47538362"/>
      <w:bookmarkStart w:id="56" w:name="_Toc47556529"/>
      <w:bookmarkStart w:id="57" w:name="_Toc47556713"/>
      <w:bookmarkStart w:id="58" w:name="_Toc47610775"/>
      <w:bookmarkStart w:id="59" w:name="_Toc47611997"/>
      <w:bookmarkStart w:id="60" w:name="_Toc47635615"/>
      <w:bookmarkStart w:id="61" w:name="_Toc47637953"/>
      <w:r>
        <w:rPr>
          <w:lang w:val="en-US"/>
        </w:rPr>
        <w:t xml:space="preserve">When SCG is deactivated, the UE suspends </w:t>
      </w:r>
      <w:r w:rsidRPr="00351A96">
        <w:rPr>
          <w:lang w:val="en-US"/>
        </w:rPr>
        <w:t>SCG transmission for all SRBs and DRBs</w:t>
      </w:r>
      <w:r w:rsidR="004C2D6B">
        <w:rPr>
          <w:lang w:val="en-US"/>
        </w:rPr>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6B22224" w14:textId="77777777" w:rsidR="002D68B7" w:rsidRDefault="001D05A0" w:rsidP="002D68B7">
      <w:pPr>
        <w:pStyle w:val="Heading3"/>
        <w:rPr>
          <w:lang w:val="en-US"/>
        </w:rPr>
      </w:pPr>
      <w:r w:rsidRPr="0066135C">
        <w:t>Signalling</w:t>
      </w:r>
    </w:p>
    <w:p w14:paraId="6671E206" w14:textId="346C8EFF" w:rsidR="002105E2" w:rsidRDefault="005100CE" w:rsidP="002105E2">
      <w:pPr>
        <w:pStyle w:val="BodyText"/>
        <w:rPr>
          <w:lang w:val="en-US"/>
        </w:rPr>
      </w:pPr>
      <w:r>
        <w:rPr>
          <w:lang w:val="en-US"/>
        </w:rPr>
        <w:t xml:space="preserve">In general, RRC should be maintained as the protocol used </w:t>
      </w:r>
      <w:r w:rsidR="00566F82">
        <w:rPr>
          <w:lang w:val="en-US"/>
        </w:rPr>
        <w:t>to</w:t>
      </w:r>
      <w:r>
        <w:rPr>
          <w:lang w:val="en-US"/>
        </w:rPr>
        <w:t xml:space="preserve"> configur</w:t>
      </w:r>
      <w:r w:rsidR="00566F82">
        <w:rPr>
          <w:lang w:val="en-US"/>
        </w:rPr>
        <w:t>e the UE</w:t>
      </w:r>
      <w:r>
        <w:rPr>
          <w:lang w:val="en-US"/>
        </w:rPr>
        <w:t>.</w:t>
      </w:r>
      <w:r w:rsidR="00566F82">
        <w:rPr>
          <w:lang w:val="en-US"/>
        </w:rPr>
        <w:t xml:space="preserve"> </w:t>
      </w:r>
      <w:r w:rsidR="00927CDC">
        <w:rPr>
          <w:lang w:val="en-US"/>
        </w:rPr>
        <w:t xml:space="preserve">RRC signaling </w:t>
      </w:r>
      <w:r w:rsidR="008B080F">
        <w:rPr>
          <w:lang w:val="en-US"/>
        </w:rPr>
        <w:t>is generally considered to have slightly worse</w:t>
      </w:r>
      <w:r w:rsidR="00D60681">
        <w:rPr>
          <w:lang w:val="en-US"/>
        </w:rPr>
        <w:t xml:space="preserve"> latency compared to lower layer solutions, like MAC and DCI. However, the </w:t>
      </w:r>
      <w:r w:rsidR="008B080F">
        <w:rPr>
          <w:lang w:val="en-US"/>
        </w:rPr>
        <w:t xml:space="preserve">RRC </w:t>
      </w:r>
      <w:r w:rsidR="00D60681">
        <w:rPr>
          <w:lang w:val="en-US"/>
        </w:rPr>
        <w:t xml:space="preserve">signaling delay only constitutes a </w:t>
      </w:r>
      <w:r w:rsidR="008B080F">
        <w:rPr>
          <w:lang w:val="en-US"/>
        </w:rPr>
        <w:t xml:space="preserve">small </w:t>
      </w:r>
      <w:r w:rsidR="00D60681">
        <w:rPr>
          <w:lang w:val="en-US"/>
        </w:rPr>
        <w:t>part of the total delay</w:t>
      </w:r>
      <w:r w:rsidR="009B67E6">
        <w:rPr>
          <w:lang w:val="en-US"/>
        </w:rPr>
        <w:t>, a</w:t>
      </w:r>
      <w:r w:rsidR="004F671A">
        <w:rPr>
          <w:lang w:val="en-US"/>
        </w:rPr>
        <w:t>s seen in the RAN4 formula in section 2.1.1</w:t>
      </w:r>
      <w:r w:rsidR="009B67E6">
        <w:rPr>
          <w:lang w:val="en-US"/>
        </w:rPr>
        <w:t>. E</w:t>
      </w:r>
      <w:r w:rsidR="0040497D">
        <w:rPr>
          <w:lang w:val="en-US"/>
        </w:rPr>
        <w:t>ven for known cell</w:t>
      </w:r>
      <w:r w:rsidR="00BF29DD">
        <w:rPr>
          <w:lang w:val="en-US"/>
        </w:rPr>
        <w:t>, the total delay</w:t>
      </w:r>
      <w:r w:rsidR="0040497D">
        <w:rPr>
          <w:lang w:val="en-US"/>
        </w:rPr>
        <w:t xml:space="preserve"> </w:t>
      </w:r>
      <w:r w:rsidR="009B67E6">
        <w:rPr>
          <w:lang w:val="en-US"/>
        </w:rPr>
        <w:t xml:space="preserve">may be </w:t>
      </w:r>
      <w:r w:rsidR="004F671A">
        <w:rPr>
          <w:lang w:val="en-US"/>
        </w:rPr>
        <w:t>~</w:t>
      </w:r>
      <w:r w:rsidR="0040497D">
        <w:rPr>
          <w:lang w:val="en-US"/>
        </w:rPr>
        <w:t>100</w:t>
      </w:r>
      <w:r w:rsidR="004F671A">
        <w:rPr>
          <w:lang w:val="en-US"/>
        </w:rPr>
        <w:t>-200</w:t>
      </w:r>
      <w:r w:rsidR="0040497D">
        <w:rPr>
          <w:lang w:val="en-US"/>
        </w:rPr>
        <w:t>ms, depending on the SMTC</w:t>
      </w:r>
      <w:r w:rsidR="00BF29DD">
        <w:rPr>
          <w:lang w:val="en-US"/>
        </w:rPr>
        <w:t xml:space="preserve"> out of which the RRC processing delay is 16ms</w:t>
      </w:r>
      <w:r w:rsidR="0040497D">
        <w:rPr>
          <w:lang w:val="en-US"/>
        </w:rPr>
        <w:t xml:space="preserve">. </w:t>
      </w:r>
      <w:r w:rsidR="008B080F">
        <w:rPr>
          <w:lang w:val="en-US"/>
        </w:rPr>
        <w:t>It needs also to be considered that the processing delay of an RRC message simply including the activation of an already stored SCG should be considerably smaller than that of and RRC message including a new SCG, as in SCG addition</w:t>
      </w:r>
      <w:r w:rsidR="00BF29DD">
        <w:rPr>
          <w:lang w:val="en-US"/>
        </w:rPr>
        <w:t>,</w:t>
      </w:r>
      <w:r w:rsidR="00E843B7">
        <w:rPr>
          <w:lang w:val="en-US"/>
        </w:rPr>
        <w:t xml:space="preserve"> making the difference in latency smaller compared to other signaling options. </w:t>
      </w:r>
      <w:r w:rsidR="006E6C6E">
        <w:rPr>
          <w:lang w:val="en-US"/>
        </w:rPr>
        <w:t>A common limitation of lower layer signaling is that only a very limited amount of information can be included</w:t>
      </w:r>
      <w:r w:rsidR="009B67E6">
        <w:rPr>
          <w:lang w:val="en-US"/>
        </w:rPr>
        <w:t xml:space="preserve">, which limits the flexibility and possibilities for future enhancements of such a solution. </w:t>
      </w:r>
      <w:r w:rsidR="00E843B7">
        <w:rPr>
          <w:lang w:val="en-US"/>
        </w:rPr>
        <w:t xml:space="preserve">In summary, we </w:t>
      </w:r>
      <w:r w:rsidR="004F1C73">
        <w:rPr>
          <w:lang w:val="en-US"/>
        </w:rPr>
        <w:t xml:space="preserve">have a preference for using RRC signaling, but since the requirements on the </w:t>
      </w:r>
      <w:r w:rsidR="002105E2">
        <w:rPr>
          <w:lang w:val="en-US"/>
        </w:rPr>
        <w:t xml:space="preserve">signaling solutions will differ depending on the approach selected in section 2.3, our proposal is to decide the signaling </w:t>
      </w:r>
      <w:r w:rsidR="00E843B7">
        <w:rPr>
          <w:lang w:val="en-US"/>
        </w:rPr>
        <w:t xml:space="preserve">protocol </w:t>
      </w:r>
      <w:r w:rsidR="002105E2">
        <w:rPr>
          <w:lang w:val="en-US"/>
        </w:rPr>
        <w:t xml:space="preserve">only once the overall solution has been agreed. </w:t>
      </w:r>
    </w:p>
    <w:p w14:paraId="717CAD83" w14:textId="4BAE74F0" w:rsidR="002105E2" w:rsidRPr="002105E2" w:rsidRDefault="008B00A2" w:rsidP="002105E2">
      <w:pPr>
        <w:pStyle w:val="Proposal"/>
        <w:numPr>
          <w:ilvl w:val="0"/>
          <w:numId w:val="19"/>
        </w:numPr>
        <w:tabs>
          <w:tab w:val="clear" w:pos="1304"/>
        </w:tabs>
        <w:spacing w:line="256" w:lineRule="auto"/>
        <w:ind w:left="1701" w:hanging="1701"/>
        <w:jc w:val="both"/>
        <w:rPr>
          <w:lang w:val="en-US"/>
        </w:rPr>
      </w:pPr>
      <w:bookmarkStart w:id="62" w:name="_Toc47359904"/>
      <w:bookmarkStart w:id="63" w:name="_Toc47359923"/>
      <w:bookmarkStart w:id="64" w:name="_Toc47372162"/>
      <w:bookmarkStart w:id="65" w:name="_Toc47372376"/>
      <w:bookmarkStart w:id="66" w:name="_Toc47383594"/>
      <w:bookmarkStart w:id="67" w:name="_Toc47452082"/>
      <w:bookmarkStart w:id="68" w:name="_Toc47534331"/>
      <w:bookmarkStart w:id="69" w:name="_Toc47538363"/>
      <w:bookmarkStart w:id="70" w:name="_Toc47556530"/>
      <w:bookmarkStart w:id="71" w:name="_Toc47556714"/>
      <w:bookmarkStart w:id="72" w:name="_Toc47610776"/>
      <w:bookmarkStart w:id="73" w:name="_Toc47611998"/>
      <w:bookmarkStart w:id="74" w:name="_Toc47635616"/>
      <w:bookmarkStart w:id="75" w:name="_Toc47637954"/>
      <w:r>
        <w:rPr>
          <w:lang w:val="en-US"/>
        </w:rPr>
        <w:t xml:space="preserve">Decide </w:t>
      </w:r>
      <w:r w:rsidR="009B67E6">
        <w:rPr>
          <w:lang w:val="en-US"/>
        </w:rPr>
        <w:t xml:space="preserve">the </w:t>
      </w:r>
      <w:r>
        <w:rPr>
          <w:lang w:val="en-US"/>
        </w:rPr>
        <w:t>signaling</w:t>
      </w:r>
      <w:r w:rsidR="00BB13A9">
        <w:rPr>
          <w:lang w:val="en-US"/>
        </w:rPr>
        <w:t xml:space="preserve"> protocol</w:t>
      </w:r>
      <w:r>
        <w:rPr>
          <w:lang w:val="en-US"/>
        </w:rPr>
        <w:t xml:space="preserve"> </w:t>
      </w:r>
      <w:r w:rsidR="00282DE2">
        <w:rPr>
          <w:lang w:val="en-US"/>
        </w:rPr>
        <w:t xml:space="preserve">(e.g. RRC or MAC CE) </w:t>
      </w:r>
      <w:r>
        <w:rPr>
          <w:lang w:val="en-US"/>
        </w:rPr>
        <w:t xml:space="preserve">only after </w:t>
      </w:r>
      <w:r w:rsidR="00416349">
        <w:rPr>
          <w:lang w:val="en-US"/>
        </w:rPr>
        <w:t xml:space="preserve">the overall solution is </w:t>
      </w:r>
      <w:r>
        <w:rPr>
          <w:lang w:val="en-US"/>
        </w:rPr>
        <w:t>decide</w:t>
      </w:r>
      <w:r w:rsidR="00416349">
        <w:rPr>
          <w:lang w:val="en-US"/>
        </w:rPr>
        <w:t>d</w:t>
      </w:r>
      <w:r w:rsidR="002D68B7" w:rsidRPr="00351A96">
        <w:rPr>
          <w:rFonts w:eastAsia="SimSun"/>
          <w:szCs w:val="20"/>
          <w:lang w:val="en-US" w:eastAsia="zh-CN"/>
        </w:rPr>
        <w:t>.</w:t>
      </w:r>
      <w:bookmarkEnd w:id="62"/>
      <w:bookmarkEnd w:id="63"/>
      <w:bookmarkEnd w:id="64"/>
      <w:bookmarkEnd w:id="65"/>
      <w:bookmarkEnd w:id="66"/>
      <w:bookmarkEnd w:id="67"/>
      <w:bookmarkEnd w:id="68"/>
      <w:bookmarkEnd w:id="69"/>
      <w:bookmarkEnd w:id="70"/>
      <w:bookmarkEnd w:id="71"/>
      <w:bookmarkEnd w:id="72"/>
      <w:bookmarkEnd w:id="73"/>
      <w:bookmarkEnd w:id="74"/>
      <w:bookmarkEnd w:id="75"/>
      <w:r w:rsidR="002D68B7" w:rsidRPr="00351A96">
        <w:rPr>
          <w:rFonts w:eastAsia="SimSun"/>
          <w:szCs w:val="20"/>
          <w:lang w:val="en-US" w:eastAsia="zh-CN"/>
        </w:rPr>
        <w:t xml:space="preserve"> </w:t>
      </w:r>
    </w:p>
    <w:p w14:paraId="1019641E" w14:textId="25ACC856" w:rsidR="00E8106C" w:rsidRDefault="002105E2" w:rsidP="002105E2">
      <w:pPr>
        <w:pStyle w:val="BodyText"/>
        <w:rPr>
          <w:lang w:val="en-US"/>
        </w:rPr>
      </w:pPr>
      <w:r w:rsidRPr="002105E2">
        <w:rPr>
          <w:lang w:val="en-US"/>
        </w:rPr>
        <w:t>Another</w:t>
      </w:r>
      <w:r>
        <w:rPr>
          <w:lang w:val="en-US"/>
        </w:rPr>
        <w:t xml:space="preserve"> aspect to discuss is the inter node signaling. In general, </w:t>
      </w:r>
      <w:r w:rsidR="004F1C73">
        <w:rPr>
          <w:lang w:val="en-US"/>
        </w:rPr>
        <w:t xml:space="preserve">both </w:t>
      </w:r>
      <w:r>
        <w:rPr>
          <w:lang w:val="en-US"/>
        </w:rPr>
        <w:t xml:space="preserve">MN and SN </w:t>
      </w:r>
      <w:r w:rsidR="00AA3EE7">
        <w:rPr>
          <w:lang w:val="en-US"/>
        </w:rPr>
        <w:t xml:space="preserve">will be involved in </w:t>
      </w:r>
      <w:r>
        <w:rPr>
          <w:lang w:val="en-US"/>
        </w:rPr>
        <w:t xml:space="preserve">the </w:t>
      </w:r>
      <w:r w:rsidR="00AA3EE7">
        <w:rPr>
          <w:lang w:val="en-US"/>
        </w:rPr>
        <w:t xml:space="preserve">activation and deactivation of </w:t>
      </w:r>
      <w:r>
        <w:rPr>
          <w:lang w:val="en-US"/>
        </w:rPr>
        <w:t>SCG</w:t>
      </w:r>
      <w:r w:rsidR="004F1C73">
        <w:rPr>
          <w:lang w:val="en-US"/>
        </w:rPr>
        <w:t xml:space="preserve">, so some form of inter node signaling will be needed for coordination. </w:t>
      </w:r>
      <w:r w:rsidR="00E8106C">
        <w:rPr>
          <w:lang w:val="en-US"/>
        </w:rPr>
        <w:t>The WI description mentions deactivating the SCG during periods of low data activity. Given that MR-DC supports both MN and SN terminated DRBs, there seems to be a need for both MN and SN initiated procedures for activation and deactivation of SCG.</w:t>
      </w:r>
    </w:p>
    <w:p w14:paraId="7E31E3EB" w14:textId="5EA24E4E" w:rsidR="0045113D" w:rsidRPr="002105E2" w:rsidRDefault="00E8106C" w:rsidP="0045113D">
      <w:pPr>
        <w:pStyle w:val="Proposal"/>
        <w:numPr>
          <w:ilvl w:val="0"/>
          <w:numId w:val="19"/>
        </w:numPr>
        <w:tabs>
          <w:tab w:val="clear" w:pos="1304"/>
        </w:tabs>
        <w:spacing w:line="256" w:lineRule="auto"/>
        <w:ind w:left="1701" w:hanging="1701"/>
        <w:jc w:val="both"/>
        <w:rPr>
          <w:lang w:val="en-US"/>
        </w:rPr>
      </w:pPr>
      <w:bookmarkStart w:id="76" w:name="_Toc47556532"/>
      <w:bookmarkStart w:id="77" w:name="_Toc47556716"/>
      <w:bookmarkStart w:id="78" w:name="_Toc47610777"/>
      <w:bookmarkStart w:id="79" w:name="_Toc47611999"/>
      <w:bookmarkStart w:id="80" w:name="_Toc47635617"/>
      <w:bookmarkStart w:id="81" w:name="_Toc47637955"/>
      <w:r>
        <w:rPr>
          <w:lang w:val="en-US"/>
        </w:rPr>
        <w:t>Inter node procedures for b</w:t>
      </w:r>
      <w:r w:rsidR="001B6563">
        <w:rPr>
          <w:lang w:val="en-US"/>
        </w:rPr>
        <w:t xml:space="preserve">oth MN </w:t>
      </w:r>
      <w:r w:rsidR="0045113D">
        <w:rPr>
          <w:lang w:val="en-US"/>
        </w:rPr>
        <w:t>and SN initiated</w:t>
      </w:r>
      <w:r>
        <w:rPr>
          <w:lang w:val="en-US"/>
        </w:rPr>
        <w:t xml:space="preserve"> SCG (de)</w:t>
      </w:r>
      <w:r w:rsidR="0045113D">
        <w:rPr>
          <w:lang w:val="en-US"/>
        </w:rPr>
        <w:t xml:space="preserve">activation </w:t>
      </w:r>
      <w:r>
        <w:rPr>
          <w:lang w:val="en-US"/>
        </w:rPr>
        <w:t>are defined</w:t>
      </w:r>
      <w:r w:rsidR="0045113D" w:rsidRPr="00351A96">
        <w:rPr>
          <w:rFonts w:eastAsia="SimSun"/>
          <w:szCs w:val="20"/>
          <w:lang w:val="en-US" w:eastAsia="zh-CN"/>
        </w:rPr>
        <w:t>.</w:t>
      </w:r>
      <w:bookmarkEnd w:id="76"/>
      <w:bookmarkEnd w:id="77"/>
      <w:bookmarkEnd w:id="78"/>
      <w:bookmarkEnd w:id="79"/>
      <w:bookmarkEnd w:id="80"/>
      <w:bookmarkEnd w:id="81"/>
      <w:r w:rsidR="0045113D" w:rsidRPr="00351A96">
        <w:rPr>
          <w:rFonts w:eastAsia="SimSun"/>
          <w:szCs w:val="20"/>
          <w:lang w:val="en-US" w:eastAsia="zh-CN"/>
        </w:rPr>
        <w:t xml:space="preserve"> </w:t>
      </w:r>
    </w:p>
    <w:p w14:paraId="0DDC51B7" w14:textId="5335727B" w:rsidR="004E20FA" w:rsidRDefault="001C6CFB" w:rsidP="001C6CFB">
      <w:pPr>
        <w:pStyle w:val="Heading3"/>
      </w:pPr>
      <w:r>
        <w:t>RLM&amp;RRM</w:t>
      </w:r>
    </w:p>
    <w:p w14:paraId="377EB65E" w14:textId="4979CF89" w:rsidR="009849BA" w:rsidRDefault="009849BA" w:rsidP="009849BA">
      <w:pPr>
        <w:pStyle w:val="BodyText"/>
        <w:rPr>
          <w:lang w:val="en-US"/>
        </w:rPr>
      </w:pPr>
      <w:r>
        <w:rPr>
          <w:lang w:val="en-US"/>
        </w:rPr>
        <w:t>In R16 it was also discussed what should have been the UE behavior regarding RLM on the PSCell and RRM measurements based on the SCG measurement configuration while the SCG is deactivated.</w:t>
      </w:r>
    </w:p>
    <w:p w14:paraId="52A2CFA3" w14:textId="52980DE4" w:rsidR="009B299E" w:rsidRDefault="009849BA" w:rsidP="009849BA">
      <w:pPr>
        <w:pStyle w:val="BodyText"/>
        <w:rPr>
          <w:lang w:val="en-US"/>
        </w:rPr>
      </w:pPr>
      <w:r>
        <w:rPr>
          <w:lang w:val="en-US"/>
        </w:rPr>
        <w:t xml:space="preserve">Regardless of which solution is specified in R17, </w:t>
      </w:r>
      <w:r w:rsidR="005C7D0A">
        <w:rPr>
          <w:lang w:val="en-US"/>
        </w:rPr>
        <w:t xml:space="preserve">the network should </w:t>
      </w:r>
      <w:r w:rsidR="009B299E">
        <w:rPr>
          <w:lang w:val="en-US"/>
        </w:rPr>
        <w:t xml:space="preserve">at least </w:t>
      </w:r>
      <w:r w:rsidR="005C7D0A">
        <w:rPr>
          <w:lang w:val="en-US"/>
        </w:rPr>
        <w:t xml:space="preserve">be notified if the </w:t>
      </w:r>
      <w:r w:rsidR="009B299E">
        <w:rPr>
          <w:lang w:val="en-US"/>
        </w:rPr>
        <w:t xml:space="preserve">UE detects radio link problems with the </w:t>
      </w:r>
      <w:r w:rsidR="005C7D0A">
        <w:rPr>
          <w:lang w:val="en-US"/>
        </w:rPr>
        <w:t>PSCell even when the SCG is deactivated, to avoid a scenario where the network</w:t>
      </w:r>
      <w:r w:rsidR="009B299E">
        <w:rPr>
          <w:lang w:val="en-US"/>
        </w:rPr>
        <w:t xml:space="preserve"> attempts to resume the operation with a deactivated SCG without success</w:t>
      </w:r>
      <w:r w:rsidR="005C7D0A">
        <w:rPr>
          <w:lang w:val="en-US"/>
        </w:rPr>
        <w:t xml:space="preserve">. </w:t>
      </w:r>
      <w:r w:rsidR="009B299E">
        <w:rPr>
          <w:lang w:val="en-US"/>
        </w:rPr>
        <w:t xml:space="preserve">That would require the UE to perform </w:t>
      </w:r>
      <w:r w:rsidR="00B4306D">
        <w:rPr>
          <w:lang w:val="en-US"/>
        </w:rPr>
        <w:t xml:space="preserve">at least </w:t>
      </w:r>
      <w:r w:rsidR="009B299E">
        <w:rPr>
          <w:lang w:val="en-US"/>
        </w:rPr>
        <w:t xml:space="preserve">some form of S-RLM </w:t>
      </w:r>
      <w:r w:rsidR="00B4306D">
        <w:rPr>
          <w:lang w:val="en-US"/>
        </w:rPr>
        <w:t>so the UE is able to dete</w:t>
      </w:r>
      <w:r w:rsidR="00850F9B">
        <w:rPr>
          <w:lang w:val="en-US"/>
        </w:rPr>
        <w:t>c</w:t>
      </w:r>
      <w:r w:rsidR="00B4306D">
        <w:rPr>
          <w:lang w:val="en-US"/>
        </w:rPr>
        <w:t xml:space="preserve">t an S-RLF </w:t>
      </w:r>
      <w:r w:rsidR="009B299E">
        <w:rPr>
          <w:lang w:val="en-US"/>
        </w:rPr>
        <w:t xml:space="preserve">while the SCG is deactivated, and the transmission of </w:t>
      </w:r>
      <w:r w:rsidR="00817AB8">
        <w:rPr>
          <w:lang w:val="en-US"/>
        </w:rPr>
        <w:t>SCG Failure reports</w:t>
      </w:r>
      <w:r w:rsidR="009B299E">
        <w:rPr>
          <w:lang w:val="en-US"/>
        </w:rPr>
        <w:t>.</w:t>
      </w:r>
    </w:p>
    <w:p w14:paraId="7C4C14C4" w14:textId="7A1CBB81" w:rsidR="009B299E" w:rsidRPr="002105E2" w:rsidRDefault="009B299E" w:rsidP="009B299E">
      <w:pPr>
        <w:pStyle w:val="Proposal"/>
        <w:numPr>
          <w:ilvl w:val="0"/>
          <w:numId w:val="19"/>
        </w:numPr>
        <w:tabs>
          <w:tab w:val="clear" w:pos="1304"/>
        </w:tabs>
        <w:spacing w:line="256" w:lineRule="auto"/>
        <w:ind w:left="1701" w:hanging="1701"/>
        <w:jc w:val="both"/>
        <w:rPr>
          <w:lang w:val="en-US"/>
        </w:rPr>
      </w:pPr>
      <w:bookmarkStart w:id="82" w:name="_Toc47610778"/>
      <w:bookmarkStart w:id="83" w:name="_Toc47612000"/>
      <w:bookmarkStart w:id="84" w:name="_Toc47635618"/>
      <w:bookmarkStart w:id="85" w:name="_Toc47637956"/>
      <w:r>
        <w:rPr>
          <w:lang w:val="en-US"/>
        </w:rPr>
        <w:t xml:space="preserve">UE performs some form of S-RLM </w:t>
      </w:r>
      <w:r>
        <w:rPr>
          <w:rFonts w:eastAsia="SimSun"/>
          <w:szCs w:val="20"/>
          <w:lang w:val="en-US" w:eastAsia="zh-CN"/>
        </w:rPr>
        <w:t xml:space="preserve">and </w:t>
      </w:r>
      <w:r>
        <w:rPr>
          <w:lang w:val="en-US"/>
        </w:rPr>
        <w:t>transmits SCG failure reports while the SCG is deactivated</w:t>
      </w:r>
      <w:r w:rsidRPr="00351A96">
        <w:rPr>
          <w:rFonts w:eastAsia="SimSun"/>
          <w:szCs w:val="20"/>
          <w:lang w:val="en-US" w:eastAsia="zh-CN"/>
        </w:rPr>
        <w:t>.</w:t>
      </w:r>
      <w:bookmarkEnd w:id="82"/>
      <w:bookmarkEnd w:id="83"/>
      <w:bookmarkEnd w:id="84"/>
      <w:bookmarkEnd w:id="85"/>
      <w:r w:rsidRPr="00351A96">
        <w:rPr>
          <w:rFonts w:eastAsia="SimSun"/>
          <w:szCs w:val="20"/>
          <w:lang w:val="en-US" w:eastAsia="zh-CN"/>
        </w:rPr>
        <w:t xml:space="preserve"> </w:t>
      </w:r>
    </w:p>
    <w:p w14:paraId="3BD47EFD" w14:textId="657F23A2" w:rsidR="003C4552" w:rsidRDefault="000616F4" w:rsidP="009849BA">
      <w:pPr>
        <w:pStyle w:val="BodyText"/>
        <w:rPr>
          <w:lang w:val="en-US"/>
        </w:rPr>
      </w:pPr>
      <w:r>
        <w:rPr>
          <w:lang w:val="en-US"/>
        </w:rPr>
        <w:t xml:space="preserve">Regardless of which solution is specified in R17, </w:t>
      </w:r>
      <w:r w:rsidRPr="00E014ED">
        <w:rPr>
          <w:lang w:val="en-US"/>
        </w:rPr>
        <w:t>t</w:t>
      </w:r>
      <w:r>
        <w:rPr>
          <w:lang w:val="en-US"/>
        </w:rPr>
        <w:t xml:space="preserve">he </w:t>
      </w:r>
      <w:r w:rsidR="009849BA">
        <w:rPr>
          <w:lang w:val="en-US"/>
        </w:rPr>
        <w:t>UE could move away from the PSCell coverage while the SCG is deactivated, and/or enter the coverage of a</w:t>
      </w:r>
      <w:r>
        <w:rPr>
          <w:lang w:val="en-US"/>
        </w:rPr>
        <w:t xml:space="preserve"> cell in the same frequency of the PSCell with better radio conditions</w:t>
      </w:r>
      <w:r w:rsidR="009849BA">
        <w:rPr>
          <w:lang w:val="en-US"/>
        </w:rPr>
        <w:t>.</w:t>
      </w:r>
      <w:r>
        <w:rPr>
          <w:lang w:val="en-US"/>
        </w:rPr>
        <w:t xml:space="preserve"> If this is not notified to the network, </w:t>
      </w:r>
      <w:r w:rsidR="005E0965">
        <w:rPr>
          <w:lang w:val="en-US"/>
        </w:rPr>
        <w:t xml:space="preserve">the </w:t>
      </w:r>
      <w:r>
        <w:rPr>
          <w:lang w:val="en-US"/>
        </w:rPr>
        <w:t>network may attempt to activ</w:t>
      </w:r>
      <w:r w:rsidR="00EA51E9">
        <w:rPr>
          <w:lang w:val="en-US"/>
        </w:rPr>
        <w:t>a</w:t>
      </w:r>
      <w:r>
        <w:rPr>
          <w:lang w:val="en-US"/>
        </w:rPr>
        <w:t xml:space="preserve">te/resume the deactivated SCG and fail. </w:t>
      </w:r>
    </w:p>
    <w:p w14:paraId="6121B6A1" w14:textId="5986DDAF" w:rsidR="003C4552" w:rsidRDefault="003C4552" w:rsidP="009849BA">
      <w:pPr>
        <w:pStyle w:val="BodyText"/>
        <w:rPr>
          <w:lang w:val="en-US"/>
        </w:rPr>
      </w:pPr>
      <w:r>
        <w:rPr>
          <w:noProof/>
          <w:lang w:val="en-US"/>
        </w:rPr>
        <w:lastRenderedPageBreak/>
        <w:drawing>
          <wp:inline distT="0" distB="0" distL="0" distR="0" wp14:anchorId="4C5367E0" wp14:editId="7EADC012">
            <wp:extent cx="6009864" cy="19647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4896" cy="1969628"/>
                    </a:xfrm>
                    <a:prstGeom prst="rect">
                      <a:avLst/>
                    </a:prstGeom>
                    <a:noFill/>
                  </pic:spPr>
                </pic:pic>
              </a:graphicData>
            </a:graphic>
          </wp:inline>
        </w:drawing>
      </w:r>
    </w:p>
    <w:p w14:paraId="25F368A1" w14:textId="08AEF199" w:rsidR="005E0965" w:rsidRDefault="005E0965" w:rsidP="005E0965">
      <w:pPr>
        <w:pStyle w:val="Caption"/>
        <w:rPr>
          <w:lang w:val="en-US"/>
        </w:rPr>
      </w:pPr>
      <w:r w:rsidRPr="005F523D">
        <w:rPr>
          <w:lang w:val="en-US"/>
        </w:rPr>
        <w:t xml:space="preserve">Figure </w:t>
      </w:r>
      <w:r w:rsidR="00352727">
        <w:fldChar w:fldCharType="begin"/>
      </w:r>
      <w:r w:rsidR="00352727" w:rsidRPr="005F523D">
        <w:rPr>
          <w:lang w:val="en-US"/>
        </w:rPr>
        <w:instrText xml:space="preserve"> SEQ Figure \* ARABIC </w:instrText>
      </w:r>
      <w:r w:rsidR="00352727">
        <w:fldChar w:fldCharType="separate"/>
      </w:r>
      <w:r w:rsidRPr="005F523D">
        <w:rPr>
          <w:noProof/>
          <w:lang w:val="en-US"/>
        </w:rPr>
        <w:t>3</w:t>
      </w:r>
      <w:r w:rsidR="00352727">
        <w:rPr>
          <w:noProof/>
        </w:rPr>
        <w:fldChar w:fldCharType="end"/>
      </w:r>
      <w:r w:rsidRPr="005F523D">
        <w:rPr>
          <w:lang w:val="en-US"/>
        </w:rPr>
        <w:t xml:space="preserve">: UE mobility with deactivated PSCell </w:t>
      </w:r>
    </w:p>
    <w:p w14:paraId="0918BF22" w14:textId="507AFB41" w:rsidR="000616F4" w:rsidRDefault="000616F4" w:rsidP="009849BA">
      <w:pPr>
        <w:pStyle w:val="BodyText"/>
        <w:rPr>
          <w:lang w:val="en-US"/>
        </w:rPr>
      </w:pPr>
      <w:r>
        <w:rPr>
          <w:lang w:val="en-US"/>
        </w:rPr>
        <w:t xml:space="preserve">Hence, to avoid problems during the activation of the deactivated SCG, the UE shall continue performing </w:t>
      </w:r>
      <w:r w:rsidR="003C4552">
        <w:rPr>
          <w:lang w:val="en-US"/>
        </w:rPr>
        <w:t xml:space="preserve">at least some </w:t>
      </w:r>
      <w:r w:rsidR="00E014ED">
        <w:rPr>
          <w:lang w:val="en-US"/>
        </w:rPr>
        <w:t xml:space="preserve">of the SCG </w:t>
      </w:r>
      <w:r>
        <w:rPr>
          <w:lang w:val="en-US"/>
        </w:rPr>
        <w:t xml:space="preserve">RRM measurements </w:t>
      </w:r>
      <w:r w:rsidR="003C4552">
        <w:rPr>
          <w:lang w:val="en-US"/>
        </w:rPr>
        <w:t>and possibl</w:t>
      </w:r>
      <w:r w:rsidR="0025681C">
        <w:rPr>
          <w:lang w:val="en-US"/>
        </w:rPr>
        <w:t xml:space="preserve">y </w:t>
      </w:r>
      <w:r w:rsidR="003C4552">
        <w:rPr>
          <w:lang w:val="en-US"/>
        </w:rPr>
        <w:t xml:space="preserve">transmit measurement reports (via MN as the SCG is deactivated). </w:t>
      </w:r>
      <w:r w:rsidR="0025681C">
        <w:rPr>
          <w:lang w:val="en-US"/>
        </w:rPr>
        <w:t xml:space="preserve">It could be debated whether RRM measurements associated to the SCG are enabled at all, as the intent of the feature is for the UE/network to save power. However, it is known that most of the savings comes from the absence of PDCCH monitoring. </w:t>
      </w:r>
      <w:r w:rsidR="005E0965">
        <w:rPr>
          <w:lang w:val="en-US"/>
        </w:rPr>
        <w:t>I</w:t>
      </w:r>
      <w:r w:rsidR="0025681C">
        <w:rPr>
          <w:lang w:val="en-US"/>
        </w:rPr>
        <w:t>t is</w:t>
      </w:r>
      <w:r w:rsidR="005E0965">
        <w:rPr>
          <w:lang w:val="en-US"/>
        </w:rPr>
        <w:t xml:space="preserve"> however</w:t>
      </w:r>
      <w:r w:rsidR="0025681C">
        <w:rPr>
          <w:lang w:val="en-US"/>
        </w:rPr>
        <w:t xml:space="preserve"> not certain whether </w:t>
      </w:r>
      <w:r w:rsidR="003C4552">
        <w:rPr>
          <w:lang w:val="en-US"/>
        </w:rPr>
        <w:t xml:space="preserve">the UE </w:t>
      </w:r>
      <w:r w:rsidR="0025681C">
        <w:rPr>
          <w:lang w:val="en-US"/>
        </w:rPr>
        <w:t xml:space="preserve">would need to perform </w:t>
      </w:r>
      <w:r w:rsidR="003C4552">
        <w:rPr>
          <w:lang w:val="en-US"/>
        </w:rPr>
        <w:t xml:space="preserve">measurements according to the whole SCG measConfig </w:t>
      </w:r>
      <w:r w:rsidR="0025681C">
        <w:rPr>
          <w:lang w:val="en-US"/>
        </w:rPr>
        <w:t xml:space="preserve">(or if same requirements applied for measurements in RRC_CONNECTED would need to be applicable for deactivated SCG). </w:t>
      </w:r>
      <w:r w:rsidR="00F23761">
        <w:rPr>
          <w:lang w:val="en-US"/>
        </w:rPr>
        <w:t>For example, if only a PSCell Release and Add mechanism is supported, perhaps only PSCell would need to be measured. Hence, r</w:t>
      </w:r>
      <w:r w:rsidR="003C4552">
        <w:rPr>
          <w:lang w:val="en-US"/>
        </w:rPr>
        <w:t xml:space="preserve">estrictions for further power savings </w:t>
      </w:r>
      <w:r w:rsidR="00202310">
        <w:rPr>
          <w:lang w:val="en-US"/>
        </w:rPr>
        <w:t xml:space="preserve">regarding SCG RRM measurements </w:t>
      </w:r>
      <w:r w:rsidR="003C4552">
        <w:rPr>
          <w:lang w:val="en-US"/>
        </w:rPr>
        <w:t>can be left FFS.</w:t>
      </w:r>
    </w:p>
    <w:p w14:paraId="27C232BC" w14:textId="1905BBAA" w:rsidR="00202310" w:rsidRPr="002105E2" w:rsidRDefault="009849BA" w:rsidP="00202310">
      <w:pPr>
        <w:pStyle w:val="Proposal"/>
        <w:numPr>
          <w:ilvl w:val="0"/>
          <w:numId w:val="19"/>
        </w:numPr>
        <w:tabs>
          <w:tab w:val="clear" w:pos="1304"/>
        </w:tabs>
        <w:spacing w:line="256" w:lineRule="auto"/>
        <w:ind w:left="1701" w:hanging="1701"/>
        <w:jc w:val="both"/>
        <w:rPr>
          <w:lang w:val="en-US"/>
        </w:rPr>
      </w:pPr>
      <w:bookmarkStart w:id="86" w:name="_Toc47610779"/>
      <w:bookmarkStart w:id="87" w:name="_Toc47612001"/>
      <w:bookmarkStart w:id="88" w:name="_Toc47635619"/>
      <w:bookmarkStart w:id="89" w:name="_Toc47637957"/>
      <w:r>
        <w:rPr>
          <w:lang w:val="en-US"/>
        </w:rPr>
        <w:t xml:space="preserve">UE </w:t>
      </w:r>
      <w:r w:rsidR="00202310">
        <w:rPr>
          <w:lang w:val="en-US"/>
        </w:rPr>
        <w:t>performs</w:t>
      </w:r>
      <w:r>
        <w:rPr>
          <w:lang w:val="en-US"/>
        </w:rPr>
        <w:t xml:space="preserve"> some form of </w:t>
      </w:r>
      <w:r w:rsidR="00202310">
        <w:rPr>
          <w:lang w:val="en-US"/>
        </w:rPr>
        <w:t>SCG RRM measurements</w:t>
      </w:r>
      <w:r>
        <w:rPr>
          <w:lang w:val="en-US"/>
        </w:rPr>
        <w:t xml:space="preserve"> while the SCG is deactivated</w:t>
      </w:r>
      <w:r w:rsidRPr="00351A96">
        <w:rPr>
          <w:rFonts w:eastAsia="SimSun"/>
          <w:szCs w:val="20"/>
          <w:lang w:val="en-US" w:eastAsia="zh-CN"/>
        </w:rPr>
        <w:t>.</w:t>
      </w:r>
      <w:r>
        <w:rPr>
          <w:rFonts w:eastAsia="SimSun"/>
          <w:szCs w:val="20"/>
          <w:lang w:val="en-US" w:eastAsia="zh-CN"/>
        </w:rPr>
        <w:t xml:space="preserve"> </w:t>
      </w:r>
      <w:r w:rsidR="00E014ED">
        <w:rPr>
          <w:rFonts w:eastAsia="SimSun"/>
          <w:szCs w:val="20"/>
          <w:lang w:val="en-US" w:eastAsia="zh-CN"/>
        </w:rPr>
        <w:t xml:space="preserve">FFS </w:t>
      </w:r>
      <w:r w:rsidR="00E014ED">
        <w:rPr>
          <w:lang w:val="en-US"/>
        </w:rPr>
        <w:t>restrictions for further power savings</w:t>
      </w:r>
      <w:r w:rsidR="00F23761">
        <w:rPr>
          <w:lang w:val="en-US"/>
        </w:rPr>
        <w:t>.</w:t>
      </w:r>
      <w:bookmarkEnd w:id="86"/>
      <w:bookmarkEnd w:id="87"/>
      <w:bookmarkEnd w:id="88"/>
      <w:bookmarkEnd w:id="89"/>
    </w:p>
    <w:p w14:paraId="1FC57ED9" w14:textId="60BEEE3A" w:rsidR="008F2ED9" w:rsidRPr="000C29EB" w:rsidRDefault="008F2ED9" w:rsidP="009849BA">
      <w:pPr>
        <w:pStyle w:val="BodyText"/>
        <w:rPr>
          <w:lang w:val="en-US"/>
        </w:rPr>
      </w:pPr>
      <w:r>
        <w:rPr>
          <w:lang w:val="en-US"/>
        </w:rPr>
        <w:t xml:space="preserve">Measurement reports could enable network decisions while the SCG is </w:t>
      </w:r>
      <w:r w:rsidR="007F68B0">
        <w:rPr>
          <w:lang w:val="en-US"/>
        </w:rPr>
        <w:t>deactivated</w:t>
      </w:r>
      <w:r>
        <w:rPr>
          <w:lang w:val="en-US"/>
        </w:rPr>
        <w:t>, depending on what kind of information is reported</w:t>
      </w:r>
      <w:r w:rsidR="000C29EB">
        <w:rPr>
          <w:lang w:val="en-US"/>
        </w:rPr>
        <w:t xml:space="preserve"> such as the release of a deactivated SCG, or</w:t>
      </w:r>
      <w:r w:rsidR="004163AC">
        <w:rPr>
          <w:lang w:val="en-US"/>
        </w:rPr>
        <w:t>/</w:t>
      </w:r>
      <w:r w:rsidR="000C29EB">
        <w:rPr>
          <w:lang w:val="en-US"/>
        </w:rPr>
        <w:t xml:space="preserve">and </w:t>
      </w:r>
      <w:r w:rsidR="004163AC">
        <w:rPr>
          <w:lang w:val="en-US"/>
        </w:rPr>
        <w:t xml:space="preserve">an </w:t>
      </w:r>
      <w:r w:rsidR="000C29EB" w:rsidRPr="000C29EB">
        <w:rPr>
          <w:lang w:val="en-US"/>
        </w:rPr>
        <w:t>SC</w:t>
      </w:r>
      <w:r w:rsidR="000C29EB">
        <w:rPr>
          <w:lang w:val="en-US"/>
        </w:rPr>
        <w:t>G mobility.</w:t>
      </w:r>
      <w:r w:rsidR="004163AC">
        <w:rPr>
          <w:lang w:val="en-US"/>
        </w:rPr>
        <w:t xml:space="preserve"> In our view both uses cases should be supported.  </w:t>
      </w:r>
    </w:p>
    <w:p w14:paraId="4D4D927C" w14:textId="4883462D" w:rsidR="004163AC" w:rsidRPr="002105E2" w:rsidRDefault="004163AC" w:rsidP="004163AC">
      <w:pPr>
        <w:pStyle w:val="Proposal"/>
        <w:numPr>
          <w:ilvl w:val="0"/>
          <w:numId w:val="19"/>
        </w:numPr>
        <w:tabs>
          <w:tab w:val="clear" w:pos="1304"/>
        </w:tabs>
        <w:spacing w:line="256" w:lineRule="auto"/>
        <w:ind w:left="1701" w:hanging="1701"/>
        <w:jc w:val="both"/>
        <w:rPr>
          <w:lang w:val="en-US"/>
        </w:rPr>
      </w:pPr>
      <w:bookmarkStart w:id="90" w:name="_Toc47610780"/>
      <w:bookmarkStart w:id="91" w:name="_Toc47612002"/>
      <w:bookmarkStart w:id="92" w:name="_Toc47635620"/>
      <w:bookmarkStart w:id="93" w:name="_Toc47637958"/>
      <w:r>
        <w:rPr>
          <w:lang w:val="en-US"/>
        </w:rPr>
        <w:t>SCG release and SCG mobility are supported for a deactivated SCG.</w:t>
      </w:r>
      <w:bookmarkEnd w:id="90"/>
      <w:bookmarkEnd w:id="91"/>
      <w:bookmarkEnd w:id="92"/>
      <w:bookmarkEnd w:id="93"/>
    </w:p>
    <w:p w14:paraId="4A092F3E" w14:textId="2053B7B9" w:rsidR="0014002A" w:rsidRDefault="009050E7" w:rsidP="009050E7">
      <w:pPr>
        <w:pStyle w:val="BodyText"/>
        <w:rPr>
          <w:lang w:val="en-US"/>
        </w:rPr>
      </w:pPr>
      <w:r>
        <w:rPr>
          <w:lang w:val="en-US"/>
        </w:rPr>
        <w:t xml:space="preserve">A reasonable </w:t>
      </w:r>
      <w:r w:rsidRPr="009050E7">
        <w:rPr>
          <w:lang w:val="en-US"/>
        </w:rPr>
        <w:t>as</w:t>
      </w:r>
      <w:r>
        <w:rPr>
          <w:lang w:val="en-US"/>
        </w:rPr>
        <w:t xml:space="preserve">sumption is that while the SCG is deactivated, the UE continues to </w:t>
      </w:r>
      <w:r w:rsidR="0014002A">
        <w:rPr>
          <w:lang w:val="en-US"/>
        </w:rPr>
        <w:t xml:space="preserve">normally </w:t>
      </w:r>
      <w:r>
        <w:rPr>
          <w:lang w:val="en-US"/>
        </w:rPr>
        <w:t xml:space="preserve">operate </w:t>
      </w:r>
      <w:r w:rsidR="0014002A">
        <w:rPr>
          <w:lang w:val="en-US"/>
        </w:rPr>
        <w:t>with the MCG e.g. UE continues to perform M-RLM and MCG RRM measurements. The UE could move away from the PCell coverage while the SCG is deactivated, and/or enter the coverage of a cell in the same frequency of the PCell with better radio conditions.</w:t>
      </w:r>
      <w:r w:rsidR="007E2C71">
        <w:rPr>
          <w:lang w:val="en-US"/>
        </w:rPr>
        <w:t xml:space="preserve"> Hence, it should be possible to perform a PCell change while the </w:t>
      </w:r>
      <w:r w:rsidR="00A22C3E">
        <w:rPr>
          <w:lang w:val="en-US"/>
        </w:rPr>
        <w:t>SCG is deactivated.</w:t>
      </w:r>
    </w:p>
    <w:p w14:paraId="2096EB44" w14:textId="1F8C9921" w:rsidR="00A22C3E" w:rsidRPr="002105E2" w:rsidRDefault="00A22C3E" w:rsidP="00A22C3E">
      <w:pPr>
        <w:pStyle w:val="Proposal"/>
        <w:numPr>
          <w:ilvl w:val="0"/>
          <w:numId w:val="19"/>
        </w:numPr>
        <w:tabs>
          <w:tab w:val="clear" w:pos="1304"/>
        </w:tabs>
        <w:spacing w:line="256" w:lineRule="auto"/>
        <w:ind w:left="1701" w:hanging="1701"/>
        <w:jc w:val="both"/>
        <w:rPr>
          <w:lang w:val="en-US"/>
        </w:rPr>
      </w:pPr>
      <w:bookmarkStart w:id="94" w:name="_Toc47610781"/>
      <w:bookmarkStart w:id="95" w:name="_Toc47612003"/>
      <w:bookmarkStart w:id="96" w:name="_Toc47635621"/>
      <w:bookmarkStart w:id="97" w:name="_Toc47637959"/>
      <w:r>
        <w:rPr>
          <w:lang w:val="en-US"/>
        </w:rPr>
        <w:t>MCG mobility while the SCG is deactivated</w:t>
      </w:r>
      <w:r w:rsidR="00D169D4">
        <w:rPr>
          <w:lang w:val="en-US"/>
        </w:rPr>
        <w:t xml:space="preserve"> is supported</w:t>
      </w:r>
      <w:r>
        <w:rPr>
          <w:lang w:val="en-US"/>
        </w:rPr>
        <w:t>.</w:t>
      </w:r>
      <w:bookmarkEnd w:id="94"/>
      <w:bookmarkEnd w:id="95"/>
      <w:bookmarkEnd w:id="96"/>
      <w:bookmarkEnd w:id="97"/>
    </w:p>
    <w:p w14:paraId="6AACC57C" w14:textId="03B7ED0F" w:rsidR="006F5D56" w:rsidRDefault="006F5D56" w:rsidP="006F5D56">
      <w:pPr>
        <w:pStyle w:val="Heading2"/>
      </w:pPr>
      <w:r>
        <w:t xml:space="preserve">SCell </w:t>
      </w:r>
      <w:r w:rsidR="004C1157">
        <w:t>(de)</w:t>
      </w:r>
      <w:r>
        <w:t>activation</w:t>
      </w:r>
    </w:p>
    <w:p w14:paraId="2548831C" w14:textId="3312DB48" w:rsidR="006F5D56" w:rsidRPr="00351A96" w:rsidRDefault="006F5D56" w:rsidP="006F5D56">
      <w:pPr>
        <w:rPr>
          <w:lang w:val="en-US" w:eastAsia="zh-CN"/>
        </w:rPr>
      </w:pPr>
      <w:r w:rsidRPr="00351A96">
        <w:rPr>
          <w:lang w:val="en-US" w:eastAsia="zh-CN"/>
        </w:rPr>
        <w:t xml:space="preserve">According to WI objective, </w:t>
      </w:r>
      <w:r>
        <w:rPr>
          <w:bCs/>
          <w:lang w:val="en-US"/>
        </w:rPr>
        <w:t>s</w:t>
      </w:r>
      <w:r w:rsidRPr="00621C66">
        <w:rPr>
          <w:bCs/>
          <w:lang w:val="en-US"/>
        </w:rPr>
        <w:t xml:space="preserve">upport for SCells applies to NR CA, </w:t>
      </w:r>
      <w:r w:rsidRPr="00351A96">
        <w:rPr>
          <w:lang w:val="en-US"/>
        </w:rPr>
        <w:t>based on RAN1 leading mechanisms</w:t>
      </w:r>
      <w:r w:rsidR="004C1157" w:rsidRPr="00351A96">
        <w:rPr>
          <w:lang w:val="en-US"/>
        </w:rPr>
        <w:t>. Given the support for dormant SCell introduced in Rel-16</w:t>
      </w:r>
      <w:r w:rsidR="004C1157" w:rsidRPr="00351A96">
        <w:rPr>
          <w:lang w:val="en-US" w:eastAsia="zh-CN"/>
        </w:rPr>
        <w:t xml:space="preserve">, the main part for Rel-17 is the </w:t>
      </w:r>
      <w:r w:rsidRPr="00351A96">
        <w:rPr>
          <w:lang w:val="en-US" w:eastAsia="zh-CN"/>
        </w:rPr>
        <w:t>RAN1 driven work on temporary RS</w:t>
      </w:r>
      <w:r w:rsidR="00D64BD7">
        <w:rPr>
          <w:lang w:val="en-US" w:eastAsia="zh-CN"/>
        </w:rPr>
        <w:t xml:space="preserve"> to speed up synchronization</w:t>
      </w:r>
      <w:r w:rsidRPr="00351A96">
        <w:rPr>
          <w:lang w:val="en-US" w:eastAsia="zh-CN"/>
        </w:rPr>
        <w:t>.</w:t>
      </w:r>
      <w:r w:rsidR="004C1157" w:rsidRPr="00351A96">
        <w:rPr>
          <w:lang w:val="en-US" w:eastAsia="zh-CN"/>
        </w:rPr>
        <w:t xml:space="preserve"> Possible RAN2 impact can be evaluated once RAN1 has made more progress.</w:t>
      </w:r>
    </w:p>
    <w:p w14:paraId="6DBBE9E9" w14:textId="239E11D6" w:rsidR="006F5D56" w:rsidRPr="00023C50" w:rsidRDefault="00372934" w:rsidP="006F5D56">
      <w:pPr>
        <w:pStyle w:val="Proposal"/>
        <w:numPr>
          <w:ilvl w:val="0"/>
          <w:numId w:val="19"/>
        </w:numPr>
        <w:tabs>
          <w:tab w:val="clear" w:pos="1304"/>
        </w:tabs>
        <w:spacing w:line="256" w:lineRule="auto"/>
        <w:ind w:left="1701" w:hanging="1701"/>
        <w:jc w:val="both"/>
        <w:rPr>
          <w:lang w:val="en-US"/>
        </w:rPr>
      </w:pPr>
      <w:bookmarkStart w:id="98" w:name="_Toc46999232"/>
      <w:bookmarkStart w:id="99" w:name="_Toc47012429"/>
      <w:bookmarkStart w:id="100" w:name="_Toc47012459"/>
      <w:bookmarkStart w:id="101" w:name="_Toc47352574"/>
      <w:bookmarkStart w:id="102" w:name="_Toc47352996"/>
      <w:bookmarkStart w:id="103" w:name="_Toc47358554"/>
      <w:bookmarkStart w:id="104" w:name="_Toc47359905"/>
      <w:bookmarkStart w:id="105" w:name="_Toc47359924"/>
      <w:bookmarkStart w:id="106" w:name="_Toc47372163"/>
      <w:bookmarkStart w:id="107" w:name="_Toc47372377"/>
      <w:bookmarkStart w:id="108" w:name="_Toc47383595"/>
      <w:bookmarkStart w:id="109" w:name="_Toc47452083"/>
      <w:bookmarkStart w:id="110" w:name="_Toc47534332"/>
      <w:bookmarkStart w:id="111" w:name="_Toc47538364"/>
      <w:bookmarkStart w:id="112" w:name="_Toc47556534"/>
      <w:bookmarkStart w:id="113" w:name="_Toc47556718"/>
      <w:bookmarkStart w:id="114" w:name="_Toc47610782"/>
      <w:bookmarkStart w:id="115" w:name="_Toc47612004"/>
      <w:bookmarkStart w:id="116" w:name="_Toc47635622"/>
      <w:bookmarkStart w:id="117" w:name="_Toc47637960"/>
      <w:r w:rsidRPr="00351A96">
        <w:rPr>
          <w:rFonts w:eastAsia="SimSun"/>
          <w:szCs w:val="20"/>
          <w:lang w:val="en-US" w:eastAsia="zh-CN"/>
        </w:rPr>
        <w:t>Possible RAN2 impact for SCell deactivation to be evaluated once RAN1 has made more progress on temporary RS</w:t>
      </w:r>
      <w:r w:rsidR="006F5D56" w:rsidRPr="00351A96">
        <w:rPr>
          <w:rFonts w:eastAsia="SimSun"/>
          <w:szCs w:val="20"/>
          <w:lang w:val="en-US" w:eastAsia="zh-CN"/>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6F5D56" w:rsidRPr="00351A96">
        <w:rPr>
          <w:rFonts w:eastAsia="SimSun"/>
          <w:szCs w:val="20"/>
          <w:lang w:val="en-US" w:eastAsia="zh-CN"/>
        </w:rPr>
        <w:t xml:space="preserve"> </w:t>
      </w:r>
    </w:p>
    <w:p w14:paraId="15FF5222" w14:textId="77777777" w:rsidR="00C01F33" w:rsidRPr="00CE0424" w:rsidRDefault="00C01F33" w:rsidP="00CE0424">
      <w:pPr>
        <w:pStyle w:val="Heading1"/>
      </w:pPr>
      <w:r w:rsidRPr="00CE0424">
        <w:lastRenderedPageBreak/>
        <w:t>Conclusion</w:t>
      </w:r>
    </w:p>
    <w:p w14:paraId="29E2A2AE" w14:textId="77777777" w:rsidR="003B33BD" w:rsidRPr="00CE1D32"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bookmarkStart w:id="118" w:name="_Hlk47556633"/>
      <w:r>
        <w:rPr>
          <w:b/>
          <w:bCs/>
        </w:rPr>
        <w:fldChar w:fldCharType="begin"/>
      </w:r>
      <w:r w:rsidRPr="0010662B">
        <w:rPr>
          <w:b/>
          <w:bCs/>
          <w:lang w:val="en-US"/>
        </w:rPr>
        <w:instrText xml:space="preserve"> TOC \f \n \p " " \t "Proposal;1" </w:instrText>
      </w:r>
      <w:r>
        <w:rPr>
          <w:b/>
          <w:bCs/>
        </w:rPr>
        <w:fldChar w:fldCharType="separate"/>
      </w:r>
    </w:p>
    <w:p w14:paraId="7687C8D8" w14:textId="77777777" w:rsidR="003B33BD" w:rsidRDefault="003B33BD">
      <w:pPr>
        <w:pStyle w:val="TOC1"/>
        <w:rPr>
          <w:rFonts w:asciiTheme="minorHAnsi" w:eastAsiaTheme="minorEastAsia" w:hAnsiTheme="minorHAnsi" w:cstheme="minorBidi"/>
          <w:b w:val="0"/>
          <w:sz w:val="22"/>
          <w:lang w:val="en-GB" w:eastAsia="en-GB"/>
        </w:rPr>
      </w:pPr>
      <w:r w:rsidRPr="005566F3">
        <w:t>Proposal 1</w:t>
      </w:r>
      <w:r>
        <w:rPr>
          <w:rFonts w:asciiTheme="minorHAnsi" w:eastAsiaTheme="minorEastAsia" w:hAnsiTheme="minorHAnsi" w:cstheme="minorBidi"/>
          <w:b w:val="0"/>
          <w:sz w:val="22"/>
          <w:lang w:val="en-GB" w:eastAsia="en-GB"/>
        </w:rPr>
        <w:tab/>
      </w:r>
      <w:r w:rsidRPr="005566F3">
        <w:rPr>
          <w:rFonts w:eastAsia="SimSun"/>
        </w:rPr>
        <w:t xml:space="preserve">The agreements from Rel-16 can act as starting point for Rel-17 discussions, i.e. a) </w:t>
      </w:r>
      <w:r w:rsidRPr="005566F3">
        <w:t>In RRC_CONNECTED, the UE supports network controlled SCG activation and deactivation b) The UE supports at most one SCG configuration, activated or deactivated. c) In RRC_CONNECTED, an SCG can be added either activated or deactivated.</w:t>
      </w:r>
    </w:p>
    <w:p w14:paraId="52310C4A" w14:textId="77777777" w:rsidR="003B33BD" w:rsidRDefault="003B33BD">
      <w:pPr>
        <w:pStyle w:val="TOC1"/>
        <w:rPr>
          <w:rFonts w:asciiTheme="minorHAnsi" w:eastAsiaTheme="minorEastAsia" w:hAnsiTheme="minorHAnsi" w:cstheme="minorBidi"/>
          <w:b w:val="0"/>
          <w:sz w:val="22"/>
          <w:lang w:val="en-GB" w:eastAsia="en-GB"/>
        </w:rPr>
      </w:pPr>
      <w:r w:rsidRPr="005566F3">
        <w:t>Proposal 2</w:t>
      </w:r>
      <w:r>
        <w:rPr>
          <w:rFonts w:asciiTheme="minorHAnsi" w:eastAsiaTheme="minorEastAsia" w:hAnsiTheme="minorHAnsi" w:cstheme="minorBidi"/>
          <w:b w:val="0"/>
          <w:sz w:val="22"/>
          <w:lang w:val="en-GB" w:eastAsia="en-GB"/>
        </w:rPr>
        <w:tab/>
      </w:r>
      <w:r w:rsidRPr="005566F3">
        <w:t>Evaluation criteria for comparison of SCG (de)activation alternatives are: a) Complexity (UE, network and specification) b) Performance (UE/network power saving, latency) c) Applicable scenarios (deployment scenarios, MR-DC architecture options)</w:t>
      </w:r>
    </w:p>
    <w:p w14:paraId="3EB15C9B" w14:textId="77777777" w:rsidR="003B33BD" w:rsidRDefault="003B33BD">
      <w:pPr>
        <w:pStyle w:val="TOC1"/>
        <w:rPr>
          <w:rFonts w:asciiTheme="minorHAnsi" w:eastAsiaTheme="minorEastAsia" w:hAnsiTheme="minorHAnsi" w:cstheme="minorBidi"/>
          <w:b w:val="0"/>
          <w:sz w:val="22"/>
          <w:lang w:val="en-GB" w:eastAsia="en-GB"/>
        </w:rPr>
      </w:pPr>
      <w:r w:rsidRPr="005566F3">
        <w:t>Proposal 3</w:t>
      </w:r>
      <w:r>
        <w:rPr>
          <w:rFonts w:asciiTheme="minorHAnsi" w:eastAsiaTheme="minorEastAsia" w:hAnsiTheme="minorHAnsi" w:cstheme="minorBidi"/>
          <w:b w:val="0"/>
          <w:sz w:val="22"/>
          <w:lang w:val="en-GB" w:eastAsia="en-GB"/>
        </w:rPr>
        <w:tab/>
      </w:r>
      <w:r w:rsidRPr="005566F3">
        <w:t>Only one solution with low complexity should be specified for efficient SCG (de)activation.</w:t>
      </w:r>
    </w:p>
    <w:p w14:paraId="353A8B76" w14:textId="77777777" w:rsidR="003B33BD" w:rsidRDefault="003B33BD">
      <w:pPr>
        <w:pStyle w:val="TOC1"/>
        <w:rPr>
          <w:rFonts w:asciiTheme="minorHAnsi" w:eastAsiaTheme="minorEastAsia" w:hAnsiTheme="minorHAnsi" w:cstheme="minorBidi"/>
          <w:b w:val="0"/>
          <w:sz w:val="22"/>
          <w:lang w:val="en-GB" w:eastAsia="en-GB"/>
        </w:rPr>
      </w:pPr>
      <w:r w:rsidRPr="005566F3">
        <w:t>Proposal 4</w:t>
      </w:r>
      <w:r>
        <w:rPr>
          <w:rFonts w:asciiTheme="minorHAnsi" w:eastAsiaTheme="minorEastAsia" w:hAnsiTheme="minorHAnsi" w:cstheme="minorBidi"/>
          <w:b w:val="0"/>
          <w:sz w:val="22"/>
          <w:lang w:val="en-GB" w:eastAsia="en-GB"/>
        </w:rPr>
        <w:tab/>
      </w:r>
      <w:r w:rsidRPr="005566F3">
        <w:t>When SCG is deactivated, the UE suspends SCG transmission for all SRBs and DRBs.</w:t>
      </w:r>
    </w:p>
    <w:p w14:paraId="22050FF3" w14:textId="77777777" w:rsidR="003B33BD" w:rsidRDefault="003B33BD">
      <w:pPr>
        <w:pStyle w:val="TOC1"/>
        <w:rPr>
          <w:rFonts w:asciiTheme="minorHAnsi" w:eastAsiaTheme="minorEastAsia" w:hAnsiTheme="minorHAnsi" w:cstheme="minorBidi"/>
          <w:b w:val="0"/>
          <w:sz w:val="22"/>
          <w:lang w:val="en-GB" w:eastAsia="en-GB"/>
        </w:rPr>
      </w:pPr>
      <w:r w:rsidRPr="005566F3">
        <w:t>Proposal 5</w:t>
      </w:r>
      <w:r>
        <w:rPr>
          <w:rFonts w:asciiTheme="minorHAnsi" w:eastAsiaTheme="minorEastAsia" w:hAnsiTheme="minorHAnsi" w:cstheme="minorBidi"/>
          <w:b w:val="0"/>
          <w:sz w:val="22"/>
          <w:lang w:val="en-GB" w:eastAsia="en-GB"/>
        </w:rPr>
        <w:tab/>
      </w:r>
      <w:r w:rsidRPr="005566F3">
        <w:t>Decide the signaling protocol (e.g. RRC or MAC CE) only after the overall solution is decided</w:t>
      </w:r>
      <w:r w:rsidRPr="005566F3">
        <w:rPr>
          <w:rFonts w:eastAsia="SimSun"/>
        </w:rPr>
        <w:t>.</w:t>
      </w:r>
    </w:p>
    <w:p w14:paraId="3741AE33" w14:textId="77777777" w:rsidR="003B33BD" w:rsidRDefault="003B33BD">
      <w:pPr>
        <w:pStyle w:val="TOC1"/>
        <w:rPr>
          <w:rFonts w:asciiTheme="minorHAnsi" w:eastAsiaTheme="minorEastAsia" w:hAnsiTheme="minorHAnsi" w:cstheme="minorBidi"/>
          <w:b w:val="0"/>
          <w:sz w:val="22"/>
          <w:lang w:val="en-GB" w:eastAsia="en-GB"/>
        </w:rPr>
      </w:pPr>
      <w:r w:rsidRPr="005566F3">
        <w:t>Proposal 6</w:t>
      </w:r>
      <w:r>
        <w:rPr>
          <w:rFonts w:asciiTheme="minorHAnsi" w:eastAsiaTheme="minorEastAsia" w:hAnsiTheme="minorHAnsi" w:cstheme="minorBidi"/>
          <w:b w:val="0"/>
          <w:sz w:val="22"/>
          <w:lang w:val="en-GB" w:eastAsia="en-GB"/>
        </w:rPr>
        <w:tab/>
      </w:r>
      <w:r w:rsidRPr="005566F3">
        <w:t>Inter node procedures for both MN and SN initiated SCG (de)activation are defined</w:t>
      </w:r>
      <w:r w:rsidRPr="005566F3">
        <w:rPr>
          <w:rFonts w:eastAsia="SimSun"/>
        </w:rPr>
        <w:t>.</w:t>
      </w:r>
    </w:p>
    <w:p w14:paraId="6DC4BAF5" w14:textId="77777777" w:rsidR="003B33BD" w:rsidRDefault="003B33BD">
      <w:pPr>
        <w:pStyle w:val="TOC1"/>
        <w:rPr>
          <w:rFonts w:asciiTheme="minorHAnsi" w:eastAsiaTheme="minorEastAsia" w:hAnsiTheme="minorHAnsi" w:cstheme="minorBidi"/>
          <w:b w:val="0"/>
          <w:sz w:val="22"/>
          <w:lang w:val="en-GB" w:eastAsia="en-GB"/>
        </w:rPr>
      </w:pPr>
      <w:r w:rsidRPr="005566F3">
        <w:t>Proposal 7</w:t>
      </w:r>
      <w:r>
        <w:rPr>
          <w:rFonts w:asciiTheme="minorHAnsi" w:eastAsiaTheme="minorEastAsia" w:hAnsiTheme="minorHAnsi" w:cstheme="minorBidi"/>
          <w:b w:val="0"/>
          <w:sz w:val="22"/>
          <w:lang w:val="en-GB" w:eastAsia="en-GB"/>
        </w:rPr>
        <w:tab/>
      </w:r>
      <w:r w:rsidRPr="005566F3">
        <w:t xml:space="preserve">UE performs some form of S-RLM </w:t>
      </w:r>
      <w:r w:rsidRPr="005566F3">
        <w:rPr>
          <w:rFonts w:eastAsia="SimSun"/>
        </w:rPr>
        <w:t xml:space="preserve">and </w:t>
      </w:r>
      <w:r w:rsidRPr="005566F3">
        <w:t>transmits SCG failure reports while the SCG is deactivated</w:t>
      </w:r>
      <w:r w:rsidRPr="005566F3">
        <w:rPr>
          <w:rFonts w:eastAsia="SimSun"/>
        </w:rPr>
        <w:t>.</w:t>
      </w:r>
    </w:p>
    <w:p w14:paraId="2F454071" w14:textId="77777777" w:rsidR="003B33BD" w:rsidRDefault="003B33BD">
      <w:pPr>
        <w:pStyle w:val="TOC1"/>
        <w:rPr>
          <w:rFonts w:asciiTheme="minorHAnsi" w:eastAsiaTheme="minorEastAsia" w:hAnsiTheme="minorHAnsi" w:cstheme="minorBidi"/>
          <w:b w:val="0"/>
          <w:sz w:val="22"/>
          <w:lang w:val="en-GB" w:eastAsia="en-GB"/>
        </w:rPr>
      </w:pPr>
      <w:r w:rsidRPr="005566F3">
        <w:t>Proposal 8</w:t>
      </w:r>
      <w:r>
        <w:rPr>
          <w:rFonts w:asciiTheme="minorHAnsi" w:eastAsiaTheme="minorEastAsia" w:hAnsiTheme="minorHAnsi" w:cstheme="minorBidi"/>
          <w:b w:val="0"/>
          <w:sz w:val="22"/>
          <w:lang w:val="en-GB" w:eastAsia="en-GB"/>
        </w:rPr>
        <w:tab/>
      </w:r>
      <w:r w:rsidRPr="005566F3">
        <w:t>UE performs some form of SCG RRM measurements while the SCG is deactivated</w:t>
      </w:r>
      <w:r w:rsidRPr="005566F3">
        <w:rPr>
          <w:rFonts w:eastAsia="SimSun"/>
        </w:rPr>
        <w:t xml:space="preserve">. FFS </w:t>
      </w:r>
      <w:r w:rsidRPr="005566F3">
        <w:t>restrictions for further power savings.</w:t>
      </w:r>
    </w:p>
    <w:p w14:paraId="0EC5F736" w14:textId="77777777" w:rsidR="003B33BD" w:rsidRDefault="003B33BD">
      <w:pPr>
        <w:pStyle w:val="TOC1"/>
        <w:rPr>
          <w:rFonts w:asciiTheme="minorHAnsi" w:eastAsiaTheme="minorEastAsia" w:hAnsiTheme="minorHAnsi" w:cstheme="minorBidi"/>
          <w:b w:val="0"/>
          <w:sz w:val="22"/>
          <w:lang w:val="en-GB" w:eastAsia="en-GB"/>
        </w:rPr>
      </w:pPr>
      <w:r w:rsidRPr="005566F3">
        <w:t>Proposal 9</w:t>
      </w:r>
      <w:r>
        <w:rPr>
          <w:rFonts w:asciiTheme="minorHAnsi" w:eastAsiaTheme="minorEastAsia" w:hAnsiTheme="minorHAnsi" w:cstheme="minorBidi"/>
          <w:b w:val="0"/>
          <w:sz w:val="22"/>
          <w:lang w:val="en-GB" w:eastAsia="en-GB"/>
        </w:rPr>
        <w:tab/>
      </w:r>
      <w:r w:rsidRPr="005566F3">
        <w:t>SCG release and SCG mobility are supported for a deactivated SCG.</w:t>
      </w:r>
    </w:p>
    <w:p w14:paraId="5BA98305" w14:textId="77777777" w:rsidR="003B33BD" w:rsidRDefault="003B33BD">
      <w:pPr>
        <w:pStyle w:val="TOC1"/>
        <w:rPr>
          <w:rFonts w:asciiTheme="minorHAnsi" w:eastAsiaTheme="minorEastAsia" w:hAnsiTheme="minorHAnsi" w:cstheme="minorBidi"/>
          <w:b w:val="0"/>
          <w:sz w:val="22"/>
          <w:lang w:val="en-GB" w:eastAsia="en-GB"/>
        </w:rPr>
      </w:pPr>
      <w:r w:rsidRPr="005566F3">
        <w:t>Proposal 10</w:t>
      </w:r>
      <w:r>
        <w:rPr>
          <w:rFonts w:asciiTheme="minorHAnsi" w:eastAsiaTheme="minorEastAsia" w:hAnsiTheme="minorHAnsi" w:cstheme="minorBidi"/>
          <w:b w:val="0"/>
          <w:sz w:val="22"/>
          <w:lang w:val="en-GB" w:eastAsia="en-GB"/>
        </w:rPr>
        <w:tab/>
      </w:r>
      <w:r w:rsidRPr="005566F3">
        <w:t>MCG mobility while the SCG is deactivated is supported.</w:t>
      </w:r>
    </w:p>
    <w:p w14:paraId="11143DB2" w14:textId="77777777" w:rsidR="003B33BD" w:rsidRDefault="003B33BD">
      <w:pPr>
        <w:pStyle w:val="TOC1"/>
        <w:rPr>
          <w:rFonts w:asciiTheme="minorHAnsi" w:eastAsiaTheme="minorEastAsia" w:hAnsiTheme="minorHAnsi" w:cstheme="minorBidi"/>
          <w:b w:val="0"/>
          <w:sz w:val="22"/>
          <w:lang w:val="en-GB" w:eastAsia="en-GB"/>
        </w:rPr>
      </w:pPr>
      <w:r w:rsidRPr="005566F3">
        <w:t>Proposal 11</w:t>
      </w:r>
      <w:r>
        <w:rPr>
          <w:rFonts w:asciiTheme="minorHAnsi" w:eastAsiaTheme="minorEastAsia" w:hAnsiTheme="minorHAnsi" w:cstheme="minorBidi"/>
          <w:b w:val="0"/>
          <w:sz w:val="22"/>
          <w:lang w:val="en-GB" w:eastAsia="en-GB"/>
        </w:rPr>
        <w:tab/>
      </w:r>
      <w:r w:rsidRPr="005566F3">
        <w:rPr>
          <w:rFonts w:eastAsia="SimSun"/>
        </w:rPr>
        <w:t>Possible RAN2 impact for SCell deactivation to be evaluated once RAN1 has made more progress on temporary RS.</w:t>
      </w:r>
    </w:p>
    <w:p w14:paraId="7801EA81" w14:textId="2116476F" w:rsidR="003A7EF3" w:rsidRPr="008F0E3D" w:rsidRDefault="008E065E" w:rsidP="00FB528C">
      <w:pPr>
        <w:rPr>
          <w:b/>
          <w:lang w:val="en-US"/>
        </w:rPr>
      </w:pPr>
      <w:r>
        <w:rPr>
          <w:b/>
          <w:bCs/>
        </w:rPr>
        <w:fldChar w:fldCharType="end"/>
      </w:r>
      <w:bookmarkStart w:id="119" w:name="_In-sequence_SDU_delivery"/>
      <w:bookmarkEnd w:id="118"/>
      <w:bookmarkEnd w:id="119"/>
    </w:p>
    <w:p w14:paraId="6EBF41C4" w14:textId="00CBC4C2" w:rsidR="00275891" w:rsidRPr="004B5900" w:rsidRDefault="008F0E3D" w:rsidP="00FB528C">
      <w:pPr>
        <w:pStyle w:val="Heading1"/>
        <w:rPr>
          <w:noProof/>
        </w:rPr>
      </w:pPr>
      <w:r>
        <w:rPr>
          <w:noProof/>
        </w:rPr>
        <w:t>References</w:t>
      </w:r>
    </w:p>
    <w:p w14:paraId="4BBEDF4E" w14:textId="2447EC3E" w:rsidR="004B5900" w:rsidRPr="004B5900" w:rsidRDefault="004B5900" w:rsidP="004B5900">
      <w:pPr>
        <w:pStyle w:val="Reference"/>
        <w:rPr>
          <w:lang w:val="de-DE"/>
        </w:rPr>
      </w:pPr>
      <w:r w:rsidRPr="00190F3C">
        <w:rPr>
          <w:rFonts w:cs="Arial"/>
          <w:lang w:val="de-DE"/>
        </w:rPr>
        <w:t>RP-201040</w:t>
      </w:r>
      <w:r>
        <w:rPr>
          <w:rFonts w:cs="Arial"/>
          <w:lang w:val="de-DE"/>
        </w:rPr>
        <w:t>, Work Item</w:t>
      </w:r>
      <w:r w:rsidRPr="009F74B3">
        <w:rPr>
          <w:rFonts w:cs="Arial"/>
          <w:lang w:val="de-DE"/>
        </w:rPr>
        <w:t xml:space="preserve"> on Further Multi-RAT Dual-Connectivity enhancements</w:t>
      </w:r>
      <w:r>
        <w:rPr>
          <w:rFonts w:cs="Arial"/>
          <w:lang w:val="de-DE"/>
        </w:rPr>
        <w:t>, Huawei</w:t>
      </w:r>
    </w:p>
    <w:bookmarkStart w:id="120" w:name="_Ref47539173"/>
    <w:p w14:paraId="763ECEFA" w14:textId="44FCBB11" w:rsidR="004B5900" w:rsidRPr="004B5900" w:rsidRDefault="004B5900" w:rsidP="004B5900">
      <w:pPr>
        <w:pStyle w:val="Reference"/>
        <w:rPr>
          <w:lang w:val="de-DE"/>
        </w:rPr>
      </w:pPr>
      <w:r>
        <w:fldChar w:fldCharType="begin"/>
      </w:r>
      <w:r w:rsidRPr="006E31F8">
        <w:rPr>
          <w:lang w:val="en-US"/>
        </w:rPr>
        <w:instrText xml:space="preserve"> HYPERLINK "https://www.3gpp.org/ftp/TSG_RAN/WG2_RL2/TSGR2_108/Docs/R2-1914364.zip" </w:instrText>
      </w:r>
      <w:r>
        <w:fldChar w:fldCharType="separate"/>
      </w:r>
      <w:r w:rsidRPr="004D2B8F">
        <w:rPr>
          <w:rStyle w:val="Hyperlink"/>
          <w:lang w:val="en-US" w:eastAsia="zh-CN"/>
        </w:rPr>
        <w:t>R2-194364</w:t>
      </w:r>
      <w:r>
        <w:rPr>
          <w:rStyle w:val="Hyperlink"/>
          <w:lang w:val="en-US" w:eastAsia="zh-CN"/>
        </w:rPr>
        <w:fldChar w:fldCharType="end"/>
      </w:r>
      <w:r>
        <w:rPr>
          <w:lang w:val="en-US" w:eastAsia="zh-CN"/>
        </w:rPr>
        <w:t xml:space="preserve">, </w:t>
      </w:r>
      <w:r w:rsidRPr="004B5900">
        <w:rPr>
          <w:lang w:val="en-US" w:eastAsia="zh-CN"/>
        </w:rPr>
        <w:t>Further discussion on suspension of SCG</w:t>
      </w:r>
      <w:r>
        <w:rPr>
          <w:lang w:val="en-US" w:eastAsia="zh-CN"/>
        </w:rPr>
        <w:t>, Qualcomm</w:t>
      </w:r>
      <w:bookmarkEnd w:id="120"/>
    </w:p>
    <w:bookmarkStart w:id="121" w:name="_Ref47540469"/>
    <w:p w14:paraId="3AE66AB2" w14:textId="20918710" w:rsidR="004B5900" w:rsidRPr="004B5900" w:rsidRDefault="004B5900" w:rsidP="004B5900">
      <w:pPr>
        <w:pStyle w:val="Reference"/>
        <w:rPr>
          <w:lang w:val="de-DE"/>
        </w:rPr>
      </w:pPr>
      <w:r>
        <w:fldChar w:fldCharType="begin"/>
      </w:r>
      <w:r w:rsidRPr="006E31F8">
        <w:rPr>
          <w:lang w:val="en-US"/>
        </w:rPr>
        <w:instrText xml:space="preserve"> HYPERLINK "https://www.3gpp.org/ftp/TSG_RAN/WG2_RL2/TSGR2_108/Docs/R2-1914576.zip" </w:instrText>
      </w:r>
      <w:r>
        <w:fldChar w:fldCharType="separate"/>
      </w:r>
      <w:r w:rsidRPr="00807F95">
        <w:rPr>
          <w:rStyle w:val="Hyperlink"/>
          <w:lang w:val="en-US" w:eastAsia="zh-CN"/>
        </w:rPr>
        <w:t>R2-1914576</w:t>
      </w:r>
      <w:r>
        <w:rPr>
          <w:rStyle w:val="Hyperlink"/>
          <w:lang w:val="en-US" w:eastAsia="zh-CN"/>
        </w:rPr>
        <w:fldChar w:fldCharType="end"/>
      </w:r>
      <w:r>
        <w:rPr>
          <w:lang w:val="en-US" w:eastAsia="zh-CN"/>
        </w:rPr>
        <w:t xml:space="preserve">, </w:t>
      </w:r>
      <w:r w:rsidRPr="004B5900">
        <w:rPr>
          <w:lang w:val="en-US" w:eastAsia="zh-CN"/>
        </w:rPr>
        <w:t>Practical scoping of SCG suspension operation in NR</w:t>
      </w:r>
      <w:r>
        <w:rPr>
          <w:lang w:val="en-US" w:eastAsia="zh-CN"/>
        </w:rPr>
        <w:t>, Intel</w:t>
      </w:r>
      <w:bookmarkEnd w:id="121"/>
    </w:p>
    <w:bookmarkStart w:id="122" w:name="_Ref47540472"/>
    <w:p w14:paraId="203CDC68" w14:textId="061E4DB5" w:rsidR="004B5900" w:rsidRPr="004B5900" w:rsidRDefault="004B5900" w:rsidP="004B5900">
      <w:pPr>
        <w:pStyle w:val="Reference"/>
        <w:rPr>
          <w:lang w:val="de-DE"/>
        </w:rPr>
      </w:pPr>
      <w:r>
        <w:fldChar w:fldCharType="begin"/>
      </w:r>
      <w:r w:rsidRPr="006E31F8">
        <w:rPr>
          <w:lang w:val="en-US"/>
        </w:rPr>
        <w:instrText xml:space="preserve"> HYPERLINK "https://www.3gpp.org/ftp/TSG_RAN/WG2_RL2/TSGR2_108/Docs/R2-1914951.zip" </w:instrText>
      </w:r>
      <w:r>
        <w:fldChar w:fldCharType="separate"/>
      </w:r>
      <w:r w:rsidRPr="00807F95">
        <w:rPr>
          <w:rStyle w:val="Hyperlink"/>
          <w:lang w:val="en-US" w:eastAsia="zh-CN"/>
        </w:rPr>
        <w:t>R2-1914951</w:t>
      </w:r>
      <w:r>
        <w:rPr>
          <w:rStyle w:val="Hyperlink"/>
          <w:lang w:val="en-US" w:eastAsia="zh-CN"/>
        </w:rPr>
        <w:fldChar w:fldCharType="end"/>
      </w:r>
      <w:r>
        <w:rPr>
          <w:lang w:val="en-US" w:eastAsia="zh-CN"/>
        </w:rPr>
        <w:t xml:space="preserve">, </w:t>
      </w:r>
      <w:r w:rsidRPr="004B5900">
        <w:rPr>
          <w:lang w:val="en-US" w:eastAsia="zh-CN"/>
        </w:rPr>
        <w:t>Discussion on Suspended SCG</w:t>
      </w:r>
      <w:r>
        <w:rPr>
          <w:lang w:val="en-US" w:eastAsia="zh-CN"/>
        </w:rPr>
        <w:t>, MediaTek</w:t>
      </w:r>
      <w:bookmarkEnd w:id="122"/>
    </w:p>
    <w:bookmarkStart w:id="123" w:name="_Ref47540475"/>
    <w:p w14:paraId="2EA14AE7" w14:textId="0B346E79" w:rsidR="004B5900" w:rsidRPr="00D31460" w:rsidRDefault="004B5900" w:rsidP="004B5900">
      <w:pPr>
        <w:pStyle w:val="Reference"/>
        <w:rPr>
          <w:lang w:val="de-DE"/>
        </w:rPr>
      </w:pPr>
      <w:r>
        <w:fldChar w:fldCharType="begin"/>
      </w:r>
      <w:r w:rsidRPr="006E31F8">
        <w:rPr>
          <w:lang w:val="en-US"/>
        </w:rPr>
        <w:instrText xml:space="preserve"> HYPERLINK "https://www.3gpp.org/ftp/TSG_RAN/WG2_RL2/TSGR2_108/Docs/R2-1915687.zip" </w:instrText>
      </w:r>
      <w:r>
        <w:fldChar w:fldCharType="separate"/>
      </w:r>
      <w:r w:rsidRPr="001D05A0">
        <w:rPr>
          <w:rStyle w:val="Hyperlink"/>
          <w:lang w:eastAsia="zh-CN"/>
        </w:rPr>
        <w:t>R2-1915687</w:t>
      </w:r>
      <w:r>
        <w:rPr>
          <w:rStyle w:val="Hyperlink"/>
          <w:lang w:eastAsia="zh-CN"/>
        </w:rPr>
        <w:fldChar w:fldCharType="end"/>
      </w:r>
      <w:r>
        <w:rPr>
          <w:lang w:val="en-US" w:eastAsia="zh-CN"/>
        </w:rPr>
        <w:t xml:space="preserve">, </w:t>
      </w:r>
      <w:r w:rsidRPr="006E31F8">
        <w:rPr>
          <w:lang w:val="en-US"/>
        </w:rPr>
        <w:t>Open issues for suspended SCG behaviour</w:t>
      </w:r>
      <w:r>
        <w:rPr>
          <w:lang w:val="en-US" w:eastAsia="zh-CN"/>
        </w:rPr>
        <w:t>, Ericsson</w:t>
      </w:r>
      <w:bookmarkEnd w:id="123"/>
    </w:p>
    <w:bookmarkStart w:id="124" w:name="_Ref47542072"/>
    <w:p w14:paraId="3DD3A721" w14:textId="34B5D2F6" w:rsidR="00D31460" w:rsidRPr="00D31460" w:rsidRDefault="00D31460" w:rsidP="004B5900">
      <w:pPr>
        <w:pStyle w:val="Reference"/>
        <w:rPr>
          <w:lang w:val="de-DE"/>
        </w:rPr>
      </w:pPr>
      <w:r>
        <w:fldChar w:fldCharType="begin"/>
      </w:r>
      <w:r w:rsidRPr="006E31F8">
        <w:rPr>
          <w:lang w:val="en-US"/>
        </w:rPr>
        <w:instrText xml:space="preserve"> HYPERLINK "https://www.3gpp.org/ftp/TSG_RAN/WG2_RL2/TSGR2_108/Docs/R2-1914531.zip" </w:instrText>
      </w:r>
      <w:r>
        <w:fldChar w:fldCharType="separate"/>
      </w:r>
      <w:r w:rsidRPr="00807F95">
        <w:rPr>
          <w:rStyle w:val="Hyperlink"/>
          <w:lang w:val="en-US" w:eastAsia="zh-CN"/>
        </w:rPr>
        <w:t>R2-1914531</w:t>
      </w:r>
      <w:r>
        <w:rPr>
          <w:rStyle w:val="Hyperlink"/>
          <w:lang w:val="en-US" w:eastAsia="zh-CN"/>
        </w:rPr>
        <w:fldChar w:fldCharType="end"/>
      </w:r>
      <w:r>
        <w:rPr>
          <w:lang w:val="en-US" w:eastAsia="zh-CN"/>
        </w:rPr>
        <w:t xml:space="preserve">, </w:t>
      </w:r>
      <w:r w:rsidRPr="006E31F8">
        <w:rPr>
          <w:rFonts w:cs="Arial"/>
          <w:lang w:val="en-US"/>
        </w:rPr>
        <w:t xml:space="preserve">Consideration on Dormant SCG </w:t>
      </w:r>
      <w:r w:rsidRPr="006E31F8">
        <w:rPr>
          <w:rFonts w:cs="Arial"/>
          <w:lang w:val="en-US" w:eastAsia="zh-CN"/>
        </w:rPr>
        <w:t>S</w:t>
      </w:r>
      <w:r w:rsidRPr="006E31F8">
        <w:rPr>
          <w:rFonts w:cs="Arial"/>
          <w:lang w:val="en-US"/>
        </w:rPr>
        <w:t>tate</w:t>
      </w:r>
      <w:r>
        <w:rPr>
          <w:lang w:val="en-US" w:eastAsia="zh-CN"/>
        </w:rPr>
        <w:t>, CATT</w:t>
      </w:r>
      <w:bookmarkEnd w:id="124"/>
    </w:p>
    <w:bookmarkStart w:id="125" w:name="_Ref47542075"/>
    <w:p w14:paraId="7983C89A" w14:textId="59C47617" w:rsidR="00D31460" w:rsidRPr="00D31460" w:rsidRDefault="00D31460" w:rsidP="004B5900">
      <w:pPr>
        <w:pStyle w:val="Reference"/>
        <w:rPr>
          <w:lang w:val="de-DE"/>
        </w:rPr>
      </w:pPr>
      <w:r>
        <w:fldChar w:fldCharType="begin"/>
      </w:r>
      <w:r w:rsidRPr="00CE1D32">
        <w:rPr>
          <w:lang w:val="en-US"/>
        </w:rPr>
        <w:instrText xml:space="preserve"> HYPERLINK "https://www.3gpp.org/ftp/TSG_RAN/WG2_RL2/TSGR2_108/Docs/R2-1914823.zip" </w:instrText>
      </w:r>
      <w:r>
        <w:fldChar w:fldCharType="separate"/>
      </w:r>
      <w:r w:rsidRPr="00807F95">
        <w:rPr>
          <w:rStyle w:val="Hyperlink"/>
          <w:lang w:val="en-US" w:eastAsia="zh-CN"/>
        </w:rPr>
        <w:t>R2-1914823</w:t>
      </w:r>
      <w:r>
        <w:rPr>
          <w:rStyle w:val="Hyperlink"/>
          <w:lang w:val="en-US" w:eastAsia="zh-CN"/>
        </w:rPr>
        <w:fldChar w:fldCharType="end"/>
      </w:r>
      <w:r w:rsidRPr="00807F95">
        <w:rPr>
          <w:lang w:val="en-US" w:eastAsia="zh-CN"/>
        </w:rPr>
        <w:t xml:space="preserve">, </w:t>
      </w:r>
      <w:r w:rsidR="00256018" w:rsidRPr="00256018">
        <w:rPr>
          <w:lang w:val="en-US" w:eastAsia="zh-CN"/>
        </w:rPr>
        <w:t>On SCG Suspension</w:t>
      </w:r>
      <w:r w:rsidR="00256018">
        <w:rPr>
          <w:lang w:val="en-US" w:eastAsia="zh-CN"/>
        </w:rPr>
        <w:t>, ZTE</w:t>
      </w:r>
      <w:bookmarkEnd w:id="125"/>
    </w:p>
    <w:bookmarkStart w:id="126" w:name="_Ref47542077"/>
    <w:p w14:paraId="3A93EE97" w14:textId="08B8C085" w:rsidR="00D31460" w:rsidRPr="00D31460" w:rsidRDefault="00D31460" w:rsidP="004B5900">
      <w:pPr>
        <w:pStyle w:val="Reference"/>
        <w:rPr>
          <w:lang w:val="de-DE"/>
        </w:rPr>
      </w:pPr>
      <w:r>
        <w:fldChar w:fldCharType="begin"/>
      </w:r>
      <w:r w:rsidRPr="006E31F8">
        <w:rPr>
          <w:lang w:val="en-US"/>
        </w:rPr>
        <w:instrText xml:space="preserve"> HYPERLINK "https://www.3gpp.org/ftp/TSG_RAN/WG2_RL2/TSGR2_108/Docs/R2-1914944.zip" </w:instrText>
      </w:r>
      <w:r>
        <w:fldChar w:fldCharType="separate"/>
      </w:r>
      <w:r w:rsidRPr="00807F95">
        <w:rPr>
          <w:rStyle w:val="Hyperlink"/>
          <w:lang w:val="en-US" w:eastAsia="zh-CN"/>
        </w:rPr>
        <w:t>R2-1914944</w:t>
      </w:r>
      <w:r>
        <w:rPr>
          <w:rStyle w:val="Hyperlink"/>
          <w:lang w:val="en-US" w:eastAsia="zh-CN"/>
        </w:rPr>
        <w:fldChar w:fldCharType="end"/>
      </w:r>
      <w:r w:rsidRPr="00807F95">
        <w:rPr>
          <w:lang w:val="en-US" w:eastAsia="zh-CN"/>
        </w:rPr>
        <w:t xml:space="preserve">, </w:t>
      </w:r>
      <w:r w:rsidR="00256018" w:rsidRPr="006E31F8">
        <w:rPr>
          <w:rFonts w:eastAsia="SimSun"/>
          <w:lang w:val="en-US" w:eastAsia="zh-CN"/>
        </w:rPr>
        <w:t>UE behaviour for a suspended SCG, vivo</w:t>
      </w:r>
      <w:bookmarkEnd w:id="126"/>
    </w:p>
    <w:bookmarkStart w:id="127" w:name="_Ref47542080"/>
    <w:p w14:paraId="01BAD193" w14:textId="74062031" w:rsidR="00D31460" w:rsidRPr="00D31460" w:rsidRDefault="00D31460" w:rsidP="004B5900">
      <w:pPr>
        <w:pStyle w:val="Reference"/>
        <w:rPr>
          <w:lang w:val="de-DE"/>
        </w:rPr>
      </w:pPr>
      <w:r>
        <w:fldChar w:fldCharType="begin"/>
      </w:r>
      <w:r>
        <w:instrText xml:space="preserve"> HYPERLINK "https://www.3gpp.org/ftp/TSG_RAN/WG2_RL2/TSGR2_108/Docs/R2-1915933.zip" </w:instrText>
      </w:r>
      <w:r>
        <w:fldChar w:fldCharType="separate"/>
      </w:r>
      <w:r w:rsidRPr="00807F95">
        <w:rPr>
          <w:rStyle w:val="Hyperlink"/>
          <w:lang w:val="en-US" w:eastAsia="zh-CN"/>
        </w:rPr>
        <w:t>R2-1915933</w:t>
      </w:r>
      <w:r>
        <w:rPr>
          <w:rStyle w:val="Hyperlink"/>
          <w:lang w:val="en-US" w:eastAsia="zh-CN"/>
        </w:rPr>
        <w:fldChar w:fldCharType="end"/>
      </w:r>
      <w:r w:rsidRPr="00807F95">
        <w:rPr>
          <w:lang w:val="en-US" w:eastAsia="zh-CN"/>
        </w:rPr>
        <w:t xml:space="preserve">, </w:t>
      </w:r>
      <w:r w:rsidR="00CB6A01" w:rsidRPr="00CB6A01">
        <w:rPr>
          <w:lang w:val="en-US" w:eastAsia="zh-CN"/>
        </w:rPr>
        <w:t>SCG Suspension</w:t>
      </w:r>
      <w:r w:rsidR="00CB6A01">
        <w:rPr>
          <w:lang w:val="en-US" w:eastAsia="zh-CN"/>
        </w:rPr>
        <w:t>, Apple</w:t>
      </w:r>
      <w:bookmarkEnd w:id="127"/>
    </w:p>
    <w:bookmarkStart w:id="128" w:name="_Ref47542082"/>
    <w:p w14:paraId="53832A02" w14:textId="0F9A1830" w:rsidR="00D31460" w:rsidRPr="00D31460" w:rsidRDefault="00D31460" w:rsidP="004B5900">
      <w:pPr>
        <w:pStyle w:val="Reference"/>
        <w:rPr>
          <w:lang w:val="de-DE"/>
        </w:rPr>
      </w:pPr>
      <w:r>
        <w:fldChar w:fldCharType="begin"/>
      </w:r>
      <w:r w:rsidRPr="006E31F8">
        <w:rPr>
          <w:lang w:val="en-US"/>
        </w:rPr>
        <w:instrText xml:space="preserve"> HYPERLINK "https://www.3gpp.org/ftp/TSG_RAN/WG2_RL2/TSGR2_108/Docs/R2-1916157.zip" </w:instrText>
      </w:r>
      <w:r>
        <w:fldChar w:fldCharType="separate"/>
      </w:r>
      <w:r w:rsidRPr="00807F95">
        <w:rPr>
          <w:rStyle w:val="Hyperlink"/>
          <w:lang w:val="en-US" w:eastAsia="zh-CN"/>
        </w:rPr>
        <w:t>R2-1916157</w:t>
      </w:r>
      <w:r>
        <w:rPr>
          <w:rStyle w:val="Hyperlink"/>
          <w:lang w:val="en-US" w:eastAsia="zh-CN"/>
        </w:rPr>
        <w:fldChar w:fldCharType="end"/>
      </w:r>
      <w:r w:rsidRPr="00807F95">
        <w:rPr>
          <w:lang w:val="en-US" w:eastAsia="zh-CN"/>
        </w:rPr>
        <w:t xml:space="preserve">, </w:t>
      </w:r>
      <w:r w:rsidR="00CB6A01" w:rsidRPr="00CB6A01">
        <w:rPr>
          <w:lang w:val="en-US" w:eastAsia="zh-CN"/>
        </w:rPr>
        <w:t>Clarification of suspended SCG</w:t>
      </w:r>
      <w:r w:rsidR="00CB6A01">
        <w:rPr>
          <w:lang w:val="en-US" w:eastAsia="zh-CN"/>
        </w:rPr>
        <w:t>, LG</w:t>
      </w:r>
      <w:bookmarkEnd w:id="128"/>
    </w:p>
    <w:p w14:paraId="6C158715" w14:textId="40EB27CD" w:rsidR="004B5900" w:rsidRPr="00D60681" w:rsidRDefault="00352727" w:rsidP="00FB528C">
      <w:pPr>
        <w:pStyle w:val="Reference"/>
        <w:rPr>
          <w:lang w:val="de-DE"/>
        </w:rPr>
      </w:pPr>
      <w:hyperlink r:id="rId15" w:history="1">
        <w:r w:rsidR="006E31F8" w:rsidRPr="00CE1D32">
          <w:rPr>
            <w:rStyle w:val="Hyperlink"/>
            <w:lang w:val="en-US"/>
          </w:rPr>
          <w:t>R2-1916161</w:t>
        </w:r>
      </w:hyperlink>
      <w:r w:rsidR="0073376B" w:rsidRPr="0073376B">
        <w:rPr>
          <w:lang w:val="en-US"/>
        </w:rPr>
        <w:t>, Resumption of suspended SCG</w:t>
      </w:r>
      <w:r w:rsidR="0073376B">
        <w:rPr>
          <w:lang w:val="en-US"/>
        </w:rPr>
        <w:t>,</w:t>
      </w:r>
      <w:r w:rsidR="0073376B" w:rsidRPr="0073376B">
        <w:rPr>
          <w:lang w:val="en-US"/>
        </w:rPr>
        <w:t xml:space="preserve"> LG</w:t>
      </w:r>
    </w:p>
    <w:p w14:paraId="7152B7B6" w14:textId="120A5657" w:rsidR="00D60681" w:rsidRPr="00D60681" w:rsidRDefault="00D60681" w:rsidP="00D60681">
      <w:pPr>
        <w:pStyle w:val="Reference"/>
        <w:rPr>
          <w:lang w:val="en-US"/>
        </w:rPr>
      </w:pPr>
      <w:bookmarkStart w:id="129" w:name="_Ref47543263"/>
      <w:r>
        <w:rPr>
          <w:lang w:val="en-US"/>
        </w:rPr>
        <w:lastRenderedPageBreak/>
        <w:t xml:space="preserve">3GPP TS 38.133, </w:t>
      </w:r>
      <w:r w:rsidRPr="00D60681">
        <w:rPr>
          <w:lang w:val="en-US"/>
        </w:rPr>
        <w:t>NR;</w:t>
      </w:r>
      <w:r>
        <w:rPr>
          <w:lang w:val="en-US"/>
        </w:rPr>
        <w:t xml:space="preserve"> </w:t>
      </w:r>
      <w:r w:rsidRPr="00D60681">
        <w:rPr>
          <w:lang w:val="en-US"/>
        </w:rPr>
        <w:t>Requirements for support of radio resource management</w:t>
      </w:r>
      <w:bookmarkEnd w:id="129"/>
    </w:p>
    <w:p w14:paraId="4690BEF7" w14:textId="1F905488" w:rsidR="00275891" w:rsidRPr="008F0E3D" w:rsidRDefault="00275891" w:rsidP="00FB528C">
      <w:pPr>
        <w:rPr>
          <w:b/>
          <w:lang w:val="en-US"/>
        </w:rPr>
      </w:pPr>
    </w:p>
    <w:p w14:paraId="7F07A41E" w14:textId="2D0665DC" w:rsidR="00275891" w:rsidRPr="00FB528C" w:rsidRDefault="00275891" w:rsidP="00275891">
      <w:pPr>
        <w:pStyle w:val="Doc-text2"/>
        <w:rPr>
          <w:lang w:val="en-US"/>
        </w:rPr>
      </w:pPr>
    </w:p>
    <w:sectPr w:rsidR="00275891" w:rsidRPr="00FB528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DECD1" w14:textId="77777777" w:rsidR="00AD2EA5" w:rsidRDefault="00AD2EA5">
      <w:r>
        <w:separator/>
      </w:r>
    </w:p>
  </w:endnote>
  <w:endnote w:type="continuationSeparator" w:id="0">
    <w:p w14:paraId="5A61997E" w14:textId="77777777" w:rsidR="00AD2EA5" w:rsidRDefault="00AD2EA5">
      <w:r>
        <w:continuationSeparator/>
      </w:r>
    </w:p>
  </w:endnote>
  <w:endnote w:type="continuationNotice" w:id="1">
    <w:p w14:paraId="5AE03C38" w14:textId="77777777" w:rsidR="00AD2EA5" w:rsidRDefault="00AD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E2C9A" w14:textId="77777777" w:rsidR="00AD2EA5" w:rsidRDefault="00AD2EA5">
      <w:r>
        <w:separator/>
      </w:r>
    </w:p>
  </w:footnote>
  <w:footnote w:type="continuationSeparator" w:id="0">
    <w:p w14:paraId="565CB097" w14:textId="77777777" w:rsidR="00AD2EA5" w:rsidRDefault="00AD2EA5">
      <w:r>
        <w:continuationSeparator/>
      </w:r>
    </w:p>
  </w:footnote>
  <w:footnote w:type="continuationNotice" w:id="1">
    <w:p w14:paraId="49C5B5D0" w14:textId="77777777" w:rsidR="00AD2EA5" w:rsidRDefault="00AD2E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04CF9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D74D2D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B6052A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E40F0C"/>
    <w:multiLevelType w:val="hybridMultilevel"/>
    <w:tmpl w:val="EADEF774"/>
    <w:lvl w:ilvl="0" w:tplc="F8848860">
      <w:start w:val="129"/>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10165E9F"/>
    <w:multiLevelType w:val="hybridMultilevel"/>
    <w:tmpl w:val="83C2302E"/>
    <w:lvl w:ilvl="0" w:tplc="CD4C613A">
      <w:start w:val="1"/>
      <w:numFmt w:val="bullet"/>
      <w:lvlText w:val="—"/>
      <w:lvlJc w:val="left"/>
      <w:pPr>
        <w:tabs>
          <w:tab w:val="num" w:pos="720"/>
        </w:tabs>
        <w:ind w:left="720" w:hanging="360"/>
      </w:pPr>
      <w:rPr>
        <w:rFonts w:ascii="Ericsson Hilda Light" w:hAnsi="Ericsson Hilda Light" w:hint="default"/>
      </w:rPr>
    </w:lvl>
    <w:lvl w:ilvl="1" w:tplc="842C0AFE">
      <w:start w:val="1"/>
      <w:numFmt w:val="bullet"/>
      <w:lvlText w:val="—"/>
      <w:lvlJc w:val="left"/>
      <w:pPr>
        <w:tabs>
          <w:tab w:val="num" w:pos="1440"/>
        </w:tabs>
        <w:ind w:left="1440" w:hanging="360"/>
      </w:pPr>
      <w:rPr>
        <w:rFonts w:ascii="Ericsson Hilda Light" w:hAnsi="Ericsson Hilda Light" w:hint="default"/>
      </w:rPr>
    </w:lvl>
    <w:lvl w:ilvl="2" w:tplc="00B8F532" w:tentative="1">
      <w:start w:val="1"/>
      <w:numFmt w:val="bullet"/>
      <w:lvlText w:val="—"/>
      <w:lvlJc w:val="left"/>
      <w:pPr>
        <w:tabs>
          <w:tab w:val="num" w:pos="2160"/>
        </w:tabs>
        <w:ind w:left="2160" w:hanging="360"/>
      </w:pPr>
      <w:rPr>
        <w:rFonts w:ascii="Ericsson Hilda Light" w:hAnsi="Ericsson Hilda Light" w:hint="default"/>
      </w:rPr>
    </w:lvl>
    <w:lvl w:ilvl="3" w:tplc="2B7A76E2" w:tentative="1">
      <w:start w:val="1"/>
      <w:numFmt w:val="bullet"/>
      <w:lvlText w:val="—"/>
      <w:lvlJc w:val="left"/>
      <w:pPr>
        <w:tabs>
          <w:tab w:val="num" w:pos="2880"/>
        </w:tabs>
        <w:ind w:left="2880" w:hanging="360"/>
      </w:pPr>
      <w:rPr>
        <w:rFonts w:ascii="Ericsson Hilda Light" w:hAnsi="Ericsson Hilda Light" w:hint="default"/>
      </w:rPr>
    </w:lvl>
    <w:lvl w:ilvl="4" w:tplc="184A226C" w:tentative="1">
      <w:start w:val="1"/>
      <w:numFmt w:val="bullet"/>
      <w:lvlText w:val="—"/>
      <w:lvlJc w:val="left"/>
      <w:pPr>
        <w:tabs>
          <w:tab w:val="num" w:pos="3600"/>
        </w:tabs>
        <w:ind w:left="3600" w:hanging="360"/>
      </w:pPr>
      <w:rPr>
        <w:rFonts w:ascii="Ericsson Hilda Light" w:hAnsi="Ericsson Hilda Light" w:hint="default"/>
      </w:rPr>
    </w:lvl>
    <w:lvl w:ilvl="5" w:tplc="DA102AD6" w:tentative="1">
      <w:start w:val="1"/>
      <w:numFmt w:val="bullet"/>
      <w:lvlText w:val="—"/>
      <w:lvlJc w:val="left"/>
      <w:pPr>
        <w:tabs>
          <w:tab w:val="num" w:pos="4320"/>
        </w:tabs>
        <w:ind w:left="4320" w:hanging="360"/>
      </w:pPr>
      <w:rPr>
        <w:rFonts w:ascii="Ericsson Hilda Light" w:hAnsi="Ericsson Hilda Light" w:hint="default"/>
      </w:rPr>
    </w:lvl>
    <w:lvl w:ilvl="6" w:tplc="9E5EE51E" w:tentative="1">
      <w:start w:val="1"/>
      <w:numFmt w:val="bullet"/>
      <w:lvlText w:val="—"/>
      <w:lvlJc w:val="left"/>
      <w:pPr>
        <w:tabs>
          <w:tab w:val="num" w:pos="5040"/>
        </w:tabs>
        <w:ind w:left="5040" w:hanging="360"/>
      </w:pPr>
      <w:rPr>
        <w:rFonts w:ascii="Ericsson Hilda Light" w:hAnsi="Ericsson Hilda Light" w:hint="default"/>
      </w:rPr>
    </w:lvl>
    <w:lvl w:ilvl="7" w:tplc="481A960C" w:tentative="1">
      <w:start w:val="1"/>
      <w:numFmt w:val="bullet"/>
      <w:lvlText w:val="—"/>
      <w:lvlJc w:val="left"/>
      <w:pPr>
        <w:tabs>
          <w:tab w:val="num" w:pos="5760"/>
        </w:tabs>
        <w:ind w:left="5760" w:hanging="360"/>
      </w:pPr>
      <w:rPr>
        <w:rFonts w:ascii="Ericsson Hilda Light" w:hAnsi="Ericsson Hilda Light" w:hint="default"/>
      </w:rPr>
    </w:lvl>
    <w:lvl w:ilvl="8" w:tplc="DB4A406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3C93EF5"/>
    <w:multiLevelType w:val="hybridMultilevel"/>
    <w:tmpl w:val="02F0FD1A"/>
    <w:lvl w:ilvl="0" w:tplc="6DA02112">
      <w:start w:val="1"/>
      <w:numFmt w:val="bullet"/>
      <w:lvlText w:val="—"/>
      <w:lvlJc w:val="left"/>
      <w:pPr>
        <w:tabs>
          <w:tab w:val="num" w:pos="720"/>
        </w:tabs>
        <w:ind w:left="720" w:hanging="360"/>
      </w:pPr>
      <w:rPr>
        <w:rFonts w:ascii="Ericsson Hilda Light" w:hAnsi="Ericsson Hilda Light" w:hint="default"/>
      </w:rPr>
    </w:lvl>
    <w:lvl w:ilvl="1" w:tplc="35D0ECEA">
      <w:start w:val="1"/>
      <w:numFmt w:val="bullet"/>
      <w:lvlText w:val="—"/>
      <w:lvlJc w:val="left"/>
      <w:pPr>
        <w:tabs>
          <w:tab w:val="num" w:pos="1440"/>
        </w:tabs>
        <w:ind w:left="1440" w:hanging="360"/>
      </w:pPr>
      <w:rPr>
        <w:rFonts w:ascii="Ericsson Hilda Light" w:hAnsi="Ericsson Hilda Light" w:hint="default"/>
      </w:rPr>
    </w:lvl>
    <w:lvl w:ilvl="2" w:tplc="81F6357E" w:tentative="1">
      <w:start w:val="1"/>
      <w:numFmt w:val="bullet"/>
      <w:lvlText w:val="—"/>
      <w:lvlJc w:val="left"/>
      <w:pPr>
        <w:tabs>
          <w:tab w:val="num" w:pos="2160"/>
        </w:tabs>
        <w:ind w:left="2160" w:hanging="360"/>
      </w:pPr>
      <w:rPr>
        <w:rFonts w:ascii="Ericsson Hilda Light" w:hAnsi="Ericsson Hilda Light" w:hint="default"/>
      </w:rPr>
    </w:lvl>
    <w:lvl w:ilvl="3" w:tplc="8E8E4C32" w:tentative="1">
      <w:start w:val="1"/>
      <w:numFmt w:val="bullet"/>
      <w:lvlText w:val="—"/>
      <w:lvlJc w:val="left"/>
      <w:pPr>
        <w:tabs>
          <w:tab w:val="num" w:pos="2880"/>
        </w:tabs>
        <w:ind w:left="2880" w:hanging="360"/>
      </w:pPr>
      <w:rPr>
        <w:rFonts w:ascii="Ericsson Hilda Light" w:hAnsi="Ericsson Hilda Light" w:hint="default"/>
      </w:rPr>
    </w:lvl>
    <w:lvl w:ilvl="4" w:tplc="A8B470F8" w:tentative="1">
      <w:start w:val="1"/>
      <w:numFmt w:val="bullet"/>
      <w:lvlText w:val="—"/>
      <w:lvlJc w:val="left"/>
      <w:pPr>
        <w:tabs>
          <w:tab w:val="num" w:pos="3600"/>
        </w:tabs>
        <w:ind w:left="3600" w:hanging="360"/>
      </w:pPr>
      <w:rPr>
        <w:rFonts w:ascii="Ericsson Hilda Light" w:hAnsi="Ericsson Hilda Light" w:hint="default"/>
      </w:rPr>
    </w:lvl>
    <w:lvl w:ilvl="5" w:tplc="57607642" w:tentative="1">
      <w:start w:val="1"/>
      <w:numFmt w:val="bullet"/>
      <w:lvlText w:val="—"/>
      <w:lvlJc w:val="left"/>
      <w:pPr>
        <w:tabs>
          <w:tab w:val="num" w:pos="4320"/>
        </w:tabs>
        <w:ind w:left="4320" w:hanging="360"/>
      </w:pPr>
      <w:rPr>
        <w:rFonts w:ascii="Ericsson Hilda Light" w:hAnsi="Ericsson Hilda Light" w:hint="default"/>
      </w:rPr>
    </w:lvl>
    <w:lvl w:ilvl="6" w:tplc="54664B66" w:tentative="1">
      <w:start w:val="1"/>
      <w:numFmt w:val="bullet"/>
      <w:lvlText w:val="—"/>
      <w:lvlJc w:val="left"/>
      <w:pPr>
        <w:tabs>
          <w:tab w:val="num" w:pos="5040"/>
        </w:tabs>
        <w:ind w:left="5040" w:hanging="360"/>
      </w:pPr>
      <w:rPr>
        <w:rFonts w:ascii="Ericsson Hilda Light" w:hAnsi="Ericsson Hilda Light" w:hint="default"/>
      </w:rPr>
    </w:lvl>
    <w:lvl w:ilvl="7" w:tplc="200CD2F2" w:tentative="1">
      <w:start w:val="1"/>
      <w:numFmt w:val="bullet"/>
      <w:lvlText w:val="—"/>
      <w:lvlJc w:val="left"/>
      <w:pPr>
        <w:tabs>
          <w:tab w:val="num" w:pos="5760"/>
        </w:tabs>
        <w:ind w:left="5760" w:hanging="360"/>
      </w:pPr>
      <w:rPr>
        <w:rFonts w:ascii="Ericsson Hilda Light" w:hAnsi="Ericsson Hilda Light" w:hint="default"/>
      </w:rPr>
    </w:lvl>
    <w:lvl w:ilvl="8" w:tplc="0B0AED5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1E585F9C"/>
    <w:multiLevelType w:val="hybridMultilevel"/>
    <w:tmpl w:val="E33AD3C4"/>
    <w:lvl w:ilvl="0" w:tplc="0809000F">
      <w:start w:val="1"/>
      <w:numFmt w:val="decimal"/>
      <w:lvlText w:val="%1."/>
      <w:lvlJc w:val="left"/>
      <w:pPr>
        <w:ind w:left="1979" w:hanging="360"/>
      </w:pPr>
    </w:lvl>
    <w:lvl w:ilvl="1" w:tplc="21B81AC4">
      <w:start w:val="8"/>
      <w:numFmt w:val="bullet"/>
      <w:lvlText w:val="-"/>
      <w:lvlJc w:val="left"/>
      <w:pPr>
        <w:ind w:left="2699" w:hanging="360"/>
      </w:pPr>
      <w:rPr>
        <w:rFonts w:ascii="Times New Roman" w:eastAsia="Times New Roman" w:hAnsi="Times New Roman" w:cs="Times New Roman" w:hint="default"/>
      </w:rPr>
    </w:lvl>
    <w:lvl w:ilvl="2" w:tplc="0809001B">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5" w15:restartNumberingAfterBreak="0">
    <w:nsid w:val="20476D61"/>
    <w:multiLevelType w:val="hybridMultilevel"/>
    <w:tmpl w:val="CE203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1852C1"/>
    <w:multiLevelType w:val="hybridMultilevel"/>
    <w:tmpl w:val="AF9C94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4A90DB3"/>
    <w:multiLevelType w:val="hybridMultilevel"/>
    <w:tmpl w:val="5C6E7680"/>
    <w:lvl w:ilvl="0" w:tplc="5352C9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3E7049"/>
    <w:multiLevelType w:val="hybridMultilevel"/>
    <w:tmpl w:val="E0360D76"/>
    <w:lvl w:ilvl="0" w:tplc="D1A42066">
      <w:start w:val="1"/>
      <w:numFmt w:val="bullet"/>
      <w:lvlText w:val="—"/>
      <w:lvlJc w:val="left"/>
      <w:pPr>
        <w:tabs>
          <w:tab w:val="num" w:pos="720"/>
        </w:tabs>
        <w:ind w:left="720" w:hanging="360"/>
      </w:pPr>
      <w:rPr>
        <w:rFonts w:ascii="Ericsson Hilda Light" w:hAnsi="Ericsson Hilda Light" w:hint="default"/>
      </w:rPr>
    </w:lvl>
    <w:lvl w:ilvl="1" w:tplc="6BFE65DE">
      <w:start w:val="1"/>
      <w:numFmt w:val="bullet"/>
      <w:lvlText w:val="—"/>
      <w:lvlJc w:val="left"/>
      <w:pPr>
        <w:tabs>
          <w:tab w:val="num" w:pos="1440"/>
        </w:tabs>
        <w:ind w:left="1440" w:hanging="360"/>
      </w:pPr>
      <w:rPr>
        <w:rFonts w:ascii="Ericsson Hilda Light" w:hAnsi="Ericsson Hilda Light" w:hint="default"/>
      </w:rPr>
    </w:lvl>
    <w:lvl w:ilvl="2" w:tplc="8B7EF634" w:tentative="1">
      <w:start w:val="1"/>
      <w:numFmt w:val="bullet"/>
      <w:lvlText w:val="—"/>
      <w:lvlJc w:val="left"/>
      <w:pPr>
        <w:tabs>
          <w:tab w:val="num" w:pos="2160"/>
        </w:tabs>
        <w:ind w:left="2160" w:hanging="360"/>
      </w:pPr>
      <w:rPr>
        <w:rFonts w:ascii="Ericsson Hilda Light" w:hAnsi="Ericsson Hilda Light" w:hint="default"/>
      </w:rPr>
    </w:lvl>
    <w:lvl w:ilvl="3" w:tplc="CA105C9C" w:tentative="1">
      <w:start w:val="1"/>
      <w:numFmt w:val="bullet"/>
      <w:lvlText w:val="—"/>
      <w:lvlJc w:val="left"/>
      <w:pPr>
        <w:tabs>
          <w:tab w:val="num" w:pos="2880"/>
        </w:tabs>
        <w:ind w:left="2880" w:hanging="360"/>
      </w:pPr>
      <w:rPr>
        <w:rFonts w:ascii="Ericsson Hilda Light" w:hAnsi="Ericsson Hilda Light" w:hint="default"/>
      </w:rPr>
    </w:lvl>
    <w:lvl w:ilvl="4" w:tplc="269C794A" w:tentative="1">
      <w:start w:val="1"/>
      <w:numFmt w:val="bullet"/>
      <w:lvlText w:val="—"/>
      <w:lvlJc w:val="left"/>
      <w:pPr>
        <w:tabs>
          <w:tab w:val="num" w:pos="3600"/>
        </w:tabs>
        <w:ind w:left="3600" w:hanging="360"/>
      </w:pPr>
      <w:rPr>
        <w:rFonts w:ascii="Ericsson Hilda Light" w:hAnsi="Ericsson Hilda Light" w:hint="default"/>
      </w:rPr>
    </w:lvl>
    <w:lvl w:ilvl="5" w:tplc="85F0ADE2" w:tentative="1">
      <w:start w:val="1"/>
      <w:numFmt w:val="bullet"/>
      <w:lvlText w:val="—"/>
      <w:lvlJc w:val="left"/>
      <w:pPr>
        <w:tabs>
          <w:tab w:val="num" w:pos="4320"/>
        </w:tabs>
        <w:ind w:left="4320" w:hanging="360"/>
      </w:pPr>
      <w:rPr>
        <w:rFonts w:ascii="Ericsson Hilda Light" w:hAnsi="Ericsson Hilda Light" w:hint="default"/>
      </w:rPr>
    </w:lvl>
    <w:lvl w:ilvl="6" w:tplc="5D32D01E" w:tentative="1">
      <w:start w:val="1"/>
      <w:numFmt w:val="bullet"/>
      <w:lvlText w:val="—"/>
      <w:lvlJc w:val="left"/>
      <w:pPr>
        <w:tabs>
          <w:tab w:val="num" w:pos="5040"/>
        </w:tabs>
        <w:ind w:left="5040" w:hanging="360"/>
      </w:pPr>
      <w:rPr>
        <w:rFonts w:ascii="Ericsson Hilda Light" w:hAnsi="Ericsson Hilda Light" w:hint="default"/>
      </w:rPr>
    </w:lvl>
    <w:lvl w:ilvl="7" w:tplc="904415E2" w:tentative="1">
      <w:start w:val="1"/>
      <w:numFmt w:val="bullet"/>
      <w:lvlText w:val="—"/>
      <w:lvlJc w:val="left"/>
      <w:pPr>
        <w:tabs>
          <w:tab w:val="num" w:pos="5760"/>
        </w:tabs>
        <w:ind w:left="5760" w:hanging="360"/>
      </w:pPr>
      <w:rPr>
        <w:rFonts w:ascii="Ericsson Hilda Light" w:hAnsi="Ericsson Hilda Light" w:hint="default"/>
      </w:rPr>
    </w:lvl>
    <w:lvl w:ilvl="8" w:tplc="D0D4CE8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254B58B5"/>
    <w:multiLevelType w:val="hybridMultilevel"/>
    <w:tmpl w:val="0A2482B0"/>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90F467C"/>
    <w:multiLevelType w:val="hybridMultilevel"/>
    <w:tmpl w:val="AAA88C4A"/>
    <w:lvl w:ilvl="0" w:tplc="9BB04AE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ED52C51"/>
    <w:multiLevelType w:val="hybridMultilevel"/>
    <w:tmpl w:val="7368D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6E50A11"/>
    <w:multiLevelType w:val="hybridMultilevel"/>
    <w:tmpl w:val="CAF6C0B8"/>
    <w:lvl w:ilvl="0" w:tplc="F5F2D13C">
      <w:start w:val="1"/>
      <w:numFmt w:val="bullet"/>
      <w:lvlText w:val="—"/>
      <w:lvlJc w:val="left"/>
      <w:pPr>
        <w:tabs>
          <w:tab w:val="num" w:pos="720"/>
        </w:tabs>
        <w:ind w:left="720" w:hanging="360"/>
      </w:pPr>
      <w:rPr>
        <w:rFonts w:ascii="Ericsson Hilda Light" w:hAnsi="Ericsson Hilda Light" w:hint="default"/>
      </w:rPr>
    </w:lvl>
    <w:lvl w:ilvl="1" w:tplc="6AAA9AE8">
      <w:start w:val="1"/>
      <w:numFmt w:val="bullet"/>
      <w:lvlText w:val="—"/>
      <w:lvlJc w:val="left"/>
      <w:pPr>
        <w:tabs>
          <w:tab w:val="num" w:pos="1440"/>
        </w:tabs>
        <w:ind w:left="1440" w:hanging="360"/>
      </w:pPr>
      <w:rPr>
        <w:rFonts w:ascii="Ericsson Hilda Light" w:hAnsi="Ericsson Hilda Light" w:hint="default"/>
      </w:rPr>
    </w:lvl>
    <w:lvl w:ilvl="2" w:tplc="57EECED4" w:tentative="1">
      <w:start w:val="1"/>
      <w:numFmt w:val="bullet"/>
      <w:lvlText w:val="—"/>
      <w:lvlJc w:val="left"/>
      <w:pPr>
        <w:tabs>
          <w:tab w:val="num" w:pos="2160"/>
        </w:tabs>
        <w:ind w:left="2160" w:hanging="360"/>
      </w:pPr>
      <w:rPr>
        <w:rFonts w:ascii="Ericsson Hilda Light" w:hAnsi="Ericsson Hilda Light" w:hint="default"/>
      </w:rPr>
    </w:lvl>
    <w:lvl w:ilvl="3" w:tplc="3F726F8E" w:tentative="1">
      <w:start w:val="1"/>
      <w:numFmt w:val="bullet"/>
      <w:lvlText w:val="—"/>
      <w:lvlJc w:val="left"/>
      <w:pPr>
        <w:tabs>
          <w:tab w:val="num" w:pos="2880"/>
        </w:tabs>
        <w:ind w:left="2880" w:hanging="360"/>
      </w:pPr>
      <w:rPr>
        <w:rFonts w:ascii="Ericsson Hilda Light" w:hAnsi="Ericsson Hilda Light" w:hint="default"/>
      </w:rPr>
    </w:lvl>
    <w:lvl w:ilvl="4" w:tplc="2870C836" w:tentative="1">
      <w:start w:val="1"/>
      <w:numFmt w:val="bullet"/>
      <w:lvlText w:val="—"/>
      <w:lvlJc w:val="left"/>
      <w:pPr>
        <w:tabs>
          <w:tab w:val="num" w:pos="3600"/>
        </w:tabs>
        <w:ind w:left="3600" w:hanging="360"/>
      </w:pPr>
      <w:rPr>
        <w:rFonts w:ascii="Ericsson Hilda Light" w:hAnsi="Ericsson Hilda Light" w:hint="default"/>
      </w:rPr>
    </w:lvl>
    <w:lvl w:ilvl="5" w:tplc="4354840E" w:tentative="1">
      <w:start w:val="1"/>
      <w:numFmt w:val="bullet"/>
      <w:lvlText w:val="—"/>
      <w:lvlJc w:val="left"/>
      <w:pPr>
        <w:tabs>
          <w:tab w:val="num" w:pos="4320"/>
        </w:tabs>
        <w:ind w:left="4320" w:hanging="360"/>
      </w:pPr>
      <w:rPr>
        <w:rFonts w:ascii="Ericsson Hilda Light" w:hAnsi="Ericsson Hilda Light" w:hint="default"/>
      </w:rPr>
    </w:lvl>
    <w:lvl w:ilvl="6" w:tplc="AF0A9F12" w:tentative="1">
      <w:start w:val="1"/>
      <w:numFmt w:val="bullet"/>
      <w:lvlText w:val="—"/>
      <w:lvlJc w:val="left"/>
      <w:pPr>
        <w:tabs>
          <w:tab w:val="num" w:pos="5040"/>
        </w:tabs>
        <w:ind w:left="5040" w:hanging="360"/>
      </w:pPr>
      <w:rPr>
        <w:rFonts w:ascii="Ericsson Hilda Light" w:hAnsi="Ericsson Hilda Light" w:hint="default"/>
      </w:rPr>
    </w:lvl>
    <w:lvl w:ilvl="7" w:tplc="FC98E4CC" w:tentative="1">
      <w:start w:val="1"/>
      <w:numFmt w:val="bullet"/>
      <w:lvlText w:val="—"/>
      <w:lvlJc w:val="left"/>
      <w:pPr>
        <w:tabs>
          <w:tab w:val="num" w:pos="5760"/>
        </w:tabs>
        <w:ind w:left="5760" w:hanging="360"/>
      </w:pPr>
      <w:rPr>
        <w:rFonts w:ascii="Ericsson Hilda Light" w:hAnsi="Ericsson Hilda Light" w:hint="default"/>
      </w:rPr>
    </w:lvl>
    <w:lvl w:ilvl="8" w:tplc="FF482FB0"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497014F7"/>
    <w:multiLevelType w:val="hybridMultilevel"/>
    <w:tmpl w:val="38D01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55055E68"/>
    <w:multiLevelType w:val="hybridMultilevel"/>
    <w:tmpl w:val="07E67882"/>
    <w:lvl w:ilvl="0" w:tplc="9A4CFD5E">
      <w:start w:val="1"/>
      <w:numFmt w:val="bullet"/>
      <w:lvlText w:val="—"/>
      <w:lvlJc w:val="left"/>
      <w:pPr>
        <w:tabs>
          <w:tab w:val="num" w:pos="720"/>
        </w:tabs>
        <w:ind w:left="720" w:hanging="360"/>
      </w:pPr>
      <w:rPr>
        <w:rFonts w:ascii="Ericsson Hilda Light" w:hAnsi="Ericsson Hilda Light" w:hint="default"/>
      </w:rPr>
    </w:lvl>
    <w:lvl w:ilvl="1" w:tplc="B8DC48F2">
      <w:start w:val="1"/>
      <w:numFmt w:val="bullet"/>
      <w:lvlText w:val="—"/>
      <w:lvlJc w:val="left"/>
      <w:pPr>
        <w:tabs>
          <w:tab w:val="num" w:pos="1440"/>
        </w:tabs>
        <w:ind w:left="1440" w:hanging="360"/>
      </w:pPr>
      <w:rPr>
        <w:rFonts w:ascii="Ericsson Hilda Light" w:hAnsi="Ericsson Hilda Light" w:hint="default"/>
      </w:rPr>
    </w:lvl>
    <w:lvl w:ilvl="2" w:tplc="D1426128" w:tentative="1">
      <w:start w:val="1"/>
      <w:numFmt w:val="bullet"/>
      <w:lvlText w:val="—"/>
      <w:lvlJc w:val="left"/>
      <w:pPr>
        <w:tabs>
          <w:tab w:val="num" w:pos="2160"/>
        </w:tabs>
        <w:ind w:left="2160" w:hanging="360"/>
      </w:pPr>
      <w:rPr>
        <w:rFonts w:ascii="Ericsson Hilda Light" w:hAnsi="Ericsson Hilda Light" w:hint="default"/>
      </w:rPr>
    </w:lvl>
    <w:lvl w:ilvl="3" w:tplc="A106EB6A" w:tentative="1">
      <w:start w:val="1"/>
      <w:numFmt w:val="bullet"/>
      <w:lvlText w:val="—"/>
      <w:lvlJc w:val="left"/>
      <w:pPr>
        <w:tabs>
          <w:tab w:val="num" w:pos="2880"/>
        </w:tabs>
        <w:ind w:left="2880" w:hanging="360"/>
      </w:pPr>
      <w:rPr>
        <w:rFonts w:ascii="Ericsson Hilda Light" w:hAnsi="Ericsson Hilda Light" w:hint="default"/>
      </w:rPr>
    </w:lvl>
    <w:lvl w:ilvl="4" w:tplc="FE0EF136" w:tentative="1">
      <w:start w:val="1"/>
      <w:numFmt w:val="bullet"/>
      <w:lvlText w:val="—"/>
      <w:lvlJc w:val="left"/>
      <w:pPr>
        <w:tabs>
          <w:tab w:val="num" w:pos="3600"/>
        </w:tabs>
        <w:ind w:left="3600" w:hanging="360"/>
      </w:pPr>
      <w:rPr>
        <w:rFonts w:ascii="Ericsson Hilda Light" w:hAnsi="Ericsson Hilda Light" w:hint="default"/>
      </w:rPr>
    </w:lvl>
    <w:lvl w:ilvl="5" w:tplc="4EEE8348" w:tentative="1">
      <w:start w:val="1"/>
      <w:numFmt w:val="bullet"/>
      <w:lvlText w:val="—"/>
      <w:lvlJc w:val="left"/>
      <w:pPr>
        <w:tabs>
          <w:tab w:val="num" w:pos="4320"/>
        </w:tabs>
        <w:ind w:left="4320" w:hanging="360"/>
      </w:pPr>
      <w:rPr>
        <w:rFonts w:ascii="Ericsson Hilda Light" w:hAnsi="Ericsson Hilda Light" w:hint="default"/>
      </w:rPr>
    </w:lvl>
    <w:lvl w:ilvl="6" w:tplc="CD7CC058" w:tentative="1">
      <w:start w:val="1"/>
      <w:numFmt w:val="bullet"/>
      <w:lvlText w:val="—"/>
      <w:lvlJc w:val="left"/>
      <w:pPr>
        <w:tabs>
          <w:tab w:val="num" w:pos="5040"/>
        </w:tabs>
        <w:ind w:left="5040" w:hanging="360"/>
      </w:pPr>
      <w:rPr>
        <w:rFonts w:ascii="Ericsson Hilda Light" w:hAnsi="Ericsson Hilda Light" w:hint="default"/>
      </w:rPr>
    </w:lvl>
    <w:lvl w:ilvl="7" w:tplc="643E39A2" w:tentative="1">
      <w:start w:val="1"/>
      <w:numFmt w:val="bullet"/>
      <w:lvlText w:val="—"/>
      <w:lvlJc w:val="left"/>
      <w:pPr>
        <w:tabs>
          <w:tab w:val="num" w:pos="5760"/>
        </w:tabs>
        <w:ind w:left="5760" w:hanging="360"/>
      </w:pPr>
      <w:rPr>
        <w:rFonts w:ascii="Ericsson Hilda Light" w:hAnsi="Ericsson Hilda Light" w:hint="default"/>
      </w:rPr>
    </w:lvl>
    <w:lvl w:ilvl="8" w:tplc="6B18F576" w:tentative="1">
      <w:start w:val="1"/>
      <w:numFmt w:val="bullet"/>
      <w:lvlText w:val="—"/>
      <w:lvlJc w:val="left"/>
      <w:pPr>
        <w:tabs>
          <w:tab w:val="num" w:pos="6480"/>
        </w:tabs>
        <w:ind w:left="6480" w:hanging="360"/>
      </w:pPr>
      <w:rPr>
        <w:rFonts w:ascii="Ericsson Hilda Light" w:hAnsi="Ericsson Hilda Light"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7"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9"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2D659B4"/>
    <w:multiLevelType w:val="hybridMultilevel"/>
    <w:tmpl w:val="66BA6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5D00AEF"/>
    <w:multiLevelType w:val="hybridMultilevel"/>
    <w:tmpl w:val="4186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DA0627"/>
    <w:multiLevelType w:val="hybridMultilevel"/>
    <w:tmpl w:val="8164671E"/>
    <w:lvl w:ilvl="0" w:tplc="721404A2">
      <w:start w:val="1"/>
      <w:numFmt w:val="bullet"/>
      <w:lvlText w:val="—"/>
      <w:lvlJc w:val="left"/>
      <w:pPr>
        <w:tabs>
          <w:tab w:val="num" w:pos="720"/>
        </w:tabs>
        <w:ind w:left="720" w:hanging="360"/>
      </w:pPr>
      <w:rPr>
        <w:rFonts w:ascii="Ericsson Hilda Light" w:hAnsi="Ericsson Hilda Light" w:hint="default"/>
      </w:rPr>
    </w:lvl>
    <w:lvl w:ilvl="1" w:tplc="064860A4">
      <w:start w:val="1"/>
      <w:numFmt w:val="bullet"/>
      <w:lvlText w:val="—"/>
      <w:lvlJc w:val="left"/>
      <w:pPr>
        <w:tabs>
          <w:tab w:val="num" w:pos="1440"/>
        </w:tabs>
        <w:ind w:left="1440" w:hanging="360"/>
      </w:pPr>
      <w:rPr>
        <w:rFonts w:ascii="Ericsson Hilda Light" w:hAnsi="Ericsson Hilda Light" w:hint="default"/>
      </w:rPr>
    </w:lvl>
    <w:lvl w:ilvl="2" w:tplc="D0F86344" w:tentative="1">
      <w:start w:val="1"/>
      <w:numFmt w:val="bullet"/>
      <w:lvlText w:val="—"/>
      <w:lvlJc w:val="left"/>
      <w:pPr>
        <w:tabs>
          <w:tab w:val="num" w:pos="2160"/>
        </w:tabs>
        <w:ind w:left="2160" w:hanging="360"/>
      </w:pPr>
      <w:rPr>
        <w:rFonts w:ascii="Ericsson Hilda Light" w:hAnsi="Ericsson Hilda Light" w:hint="default"/>
      </w:rPr>
    </w:lvl>
    <w:lvl w:ilvl="3" w:tplc="B904814A" w:tentative="1">
      <w:start w:val="1"/>
      <w:numFmt w:val="bullet"/>
      <w:lvlText w:val="—"/>
      <w:lvlJc w:val="left"/>
      <w:pPr>
        <w:tabs>
          <w:tab w:val="num" w:pos="2880"/>
        </w:tabs>
        <w:ind w:left="2880" w:hanging="360"/>
      </w:pPr>
      <w:rPr>
        <w:rFonts w:ascii="Ericsson Hilda Light" w:hAnsi="Ericsson Hilda Light" w:hint="default"/>
      </w:rPr>
    </w:lvl>
    <w:lvl w:ilvl="4" w:tplc="5EA69774" w:tentative="1">
      <w:start w:val="1"/>
      <w:numFmt w:val="bullet"/>
      <w:lvlText w:val="—"/>
      <w:lvlJc w:val="left"/>
      <w:pPr>
        <w:tabs>
          <w:tab w:val="num" w:pos="3600"/>
        </w:tabs>
        <w:ind w:left="3600" w:hanging="360"/>
      </w:pPr>
      <w:rPr>
        <w:rFonts w:ascii="Ericsson Hilda Light" w:hAnsi="Ericsson Hilda Light" w:hint="default"/>
      </w:rPr>
    </w:lvl>
    <w:lvl w:ilvl="5" w:tplc="D388AD88" w:tentative="1">
      <w:start w:val="1"/>
      <w:numFmt w:val="bullet"/>
      <w:lvlText w:val="—"/>
      <w:lvlJc w:val="left"/>
      <w:pPr>
        <w:tabs>
          <w:tab w:val="num" w:pos="4320"/>
        </w:tabs>
        <w:ind w:left="4320" w:hanging="360"/>
      </w:pPr>
      <w:rPr>
        <w:rFonts w:ascii="Ericsson Hilda Light" w:hAnsi="Ericsson Hilda Light" w:hint="default"/>
      </w:rPr>
    </w:lvl>
    <w:lvl w:ilvl="6" w:tplc="EB188C9E" w:tentative="1">
      <w:start w:val="1"/>
      <w:numFmt w:val="bullet"/>
      <w:lvlText w:val="—"/>
      <w:lvlJc w:val="left"/>
      <w:pPr>
        <w:tabs>
          <w:tab w:val="num" w:pos="5040"/>
        </w:tabs>
        <w:ind w:left="5040" w:hanging="360"/>
      </w:pPr>
      <w:rPr>
        <w:rFonts w:ascii="Ericsson Hilda Light" w:hAnsi="Ericsson Hilda Light" w:hint="default"/>
      </w:rPr>
    </w:lvl>
    <w:lvl w:ilvl="7" w:tplc="0D32B166" w:tentative="1">
      <w:start w:val="1"/>
      <w:numFmt w:val="bullet"/>
      <w:lvlText w:val="—"/>
      <w:lvlJc w:val="left"/>
      <w:pPr>
        <w:tabs>
          <w:tab w:val="num" w:pos="5760"/>
        </w:tabs>
        <w:ind w:left="5760" w:hanging="360"/>
      </w:pPr>
      <w:rPr>
        <w:rFonts w:ascii="Ericsson Hilda Light" w:hAnsi="Ericsson Hilda Light" w:hint="default"/>
      </w:rPr>
    </w:lvl>
    <w:lvl w:ilvl="8" w:tplc="0A0CB31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40"/>
  </w:num>
  <w:num w:numId="3">
    <w:abstractNumId w:val="30"/>
  </w:num>
  <w:num w:numId="4">
    <w:abstractNumId w:val="31"/>
  </w:num>
  <w:num w:numId="5">
    <w:abstractNumId w:val="25"/>
  </w:num>
  <w:num w:numId="6">
    <w:abstractNumId w:val="36"/>
  </w:num>
  <w:num w:numId="7">
    <w:abstractNumId w:val="45"/>
  </w:num>
  <w:num w:numId="8">
    <w:abstractNumId w:val="26"/>
  </w:num>
  <w:num w:numId="9">
    <w:abstractNumId w:val="23"/>
  </w:num>
  <w:num w:numId="10">
    <w:abstractNumId w:val="3"/>
  </w:num>
  <w:num w:numId="11">
    <w:abstractNumId w:val="2"/>
  </w:num>
  <w:num w:numId="12">
    <w:abstractNumId w:val="1"/>
  </w:num>
  <w:num w:numId="13">
    <w:abstractNumId w:val="42"/>
  </w:num>
  <w:num w:numId="14">
    <w:abstractNumId w:val="0"/>
  </w:num>
  <w:num w:numId="15">
    <w:abstractNumId w:val="51"/>
  </w:num>
  <w:num w:numId="16">
    <w:abstractNumId w:val="37"/>
  </w:num>
  <w:num w:numId="17">
    <w:abstractNumId w:val="35"/>
  </w:num>
  <w:num w:numId="18">
    <w:abstractNumId w:val="1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49"/>
  </w:num>
  <w:num w:numId="24">
    <w:abstractNumId w:val="34"/>
  </w:num>
  <w:num w:numId="25">
    <w:abstractNumId w:val="52"/>
  </w:num>
  <w:num w:numId="26">
    <w:abstractNumId w:val="17"/>
  </w:num>
  <w:num w:numId="27">
    <w:abstractNumId w:val="32"/>
  </w:num>
  <w:num w:numId="28">
    <w:abstractNumId w:val="50"/>
  </w:num>
  <w:num w:numId="29">
    <w:abstractNumId w:val="47"/>
  </w:num>
  <w:num w:numId="30">
    <w:abstractNumId w:val="41"/>
  </w:num>
  <w:num w:numId="31">
    <w:abstractNumId w:val="48"/>
  </w:num>
  <w:num w:numId="32">
    <w:abstractNumId w:val="46"/>
  </w:num>
  <w:num w:numId="33">
    <w:abstractNumId w:val="13"/>
  </w:num>
  <w:num w:numId="34">
    <w:abstractNumId w:val="7"/>
  </w:num>
  <w:num w:numId="35">
    <w:abstractNumId w:val="18"/>
  </w:num>
  <w:num w:numId="36">
    <w:abstractNumId w:val="28"/>
  </w:num>
  <w:num w:numId="37">
    <w:abstractNumId w:val="24"/>
  </w:num>
  <w:num w:numId="38">
    <w:abstractNumId w:val="39"/>
  </w:num>
  <w:num w:numId="39">
    <w:abstractNumId w:val="33"/>
  </w:num>
  <w:num w:numId="40">
    <w:abstractNumId w:val="20"/>
  </w:num>
  <w:num w:numId="41">
    <w:abstractNumId w:val="43"/>
  </w:num>
  <w:num w:numId="42">
    <w:abstractNumId w:val="8"/>
  </w:num>
  <w:num w:numId="43">
    <w:abstractNumId w:val="21"/>
  </w:num>
  <w:num w:numId="44">
    <w:abstractNumId w:val="9"/>
  </w:num>
  <w:num w:numId="45">
    <w:abstractNumId w:val="15"/>
  </w:num>
  <w:num w:numId="46">
    <w:abstractNumId w:val="22"/>
  </w:num>
  <w:num w:numId="47">
    <w:abstractNumId w:val="12"/>
  </w:num>
  <w:num w:numId="48">
    <w:abstractNumId w:val="14"/>
  </w:num>
  <w:num w:numId="49">
    <w:abstractNumId w:val="38"/>
  </w:num>
  <w:num w:numId="50">
    <w:abstractNumId w:val="16"/>
  </w:num>
  <w:num w:numId="51">
    <w:abstractNumId w:val="29"/>
  </w:num>
  <w:num w:numId="52">
    <w:abstractNumId w:val="54"/>
  </w:num>
  <w:num w:numId="53">
    <w:abstractNumId w:val="6"/>
  </w:num>
  <w:num w:numId="54">
    <w:abstractNumId w:val="55"/>
  </w:num>
  <w:num w:numId="55">
    <w:abstractNumId w:val="44"/>
  </w:num>
  <w:num w:numId="56">
    <w:abstractNumId w:val="4"/>
  </w:num>
  <w:num w:numId="57">
    <w:abstractNumId w:val="27"/>
  </w:num>
  <w:num w:numId="58">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i-FI"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3C50"/>
    <w:rsid w:val="0002564D"/>
    <w:rsid w:val="00025ECA"/>
    <w:rsid w:val="0002604F"/>
    <w:rsid w:val="00027BB9"/>
    <w:rsid w:val="0003105D"/>
    <w:rsid w:val="000313C6"/>
    <w:rsid w:val="000325B8"/>
    <w:rsid w:val="00033001"/>
    <w:rsid w:val="00033A8D"/>
    <w:rsid w:val="00034C15"/>
    <w:rsid w:val="0003651B"/>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61EF"/>
    <w:rsid w:val="00057117"/>
    <w:rsid w:val="000573CA"/>
    <w:rsid w:val="00057BDA"/>
    <w:rsid w:val="000607F5"/>
    <w:rsid w:val="00060822"/>
    <w:rsid w:val="00061417"/>
    <w:rsid w:val="000616E7"/>
    <w:rsid w:val="000616F4"/>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67A2"/>
    <w:rsid w:val="000968AA"/>
    <w:rsid w:val="00097633"/>
    <w:rsid w:val="000A1B7B"/>
    <w:rsid w:val="000A56F2"/>
    <w:rsid w:val="000A6190"/>
    <w:rsid w:val="000A7D28"/>
    <w:rsid w:val="000B0CF0"/>
    <w:rsid w:val="000B0E11"/>
    <w:rsid w:val="000B2719"/>
    <w:rsid w:val="000B3A8F"/>
    <w:rsid w:val="000B4AB9"/>
    <w:rsid w:val="000B5160"/>
    <w:rsid w:val="000B58C3"/>
    <w:rsid w:val="000B61E9"/>
    <w:rsid w:val="000B6495"/>
    <w:rsid w:val="000B7A4E"/>
    <w:rsid w:val="000C12D3"/>
    <w:rsid w:val="000C165A"/>
    <w:rsid w:val="000C29EB"/>
    <w:rsid w:val="000C2E19"/>
    <w:rsid w:val="000C506E"/>
    <w:rsid w:val="000C5CB2"/>
    <w:rsid w:val="000C6E50"/>
    <w:rsid w:val="000D00B2"/>
    <w:rsid w:val="000D0D07"/>
    <w:rsid w:val="000D3B68"/>
    <w:rsid w:val="000D3C0E"/>
    <w:rsid w:val="000D4797"/>
    <w:rsid w:val="000D51E9"/>
    <w:rsid w:val="000D7753"/>
    <w:rsid w:val="000E0527"/>
    <w:rsid w:val="000E0FAB"/>
    <w:rsid w:val="000E1E92"/>
    <w:rsid w:val="000E4999"/>
    <w:rsid w:val="000E4A12"/>
    <w:rsid w:val="000E6E74"/>
    <w:rsid w:val="000F024F"/>
    <w:rsid w:val="000F06D6"/>
    <w:rsid w:val="000F0EB1"/>
    <w:rsid w:val="000F1106"/>
    <w:rsid w:val="000F1928"/>
    <w:rsid w:val="000F3BE9"/>
    <w:rsid w:val="000F3F6C"/>
    <w:rsid w:val="000F554A"/>
    <w:rsid w:val="000F6142"/>
    <w:rsid w:val="000F6B4E"/>
    <w:rsid w:val="000F6DF3"/>
    <w:rsid w:val="000F70FD"/>
    <w:rsid w:val="001005FF"/>
    <w:rsid w:val="001028E4"/>
    <w:rsid w:val="001039A8"/>
    <w:rsid w:val="00104EDB"/>
    <w:rsid w:val="0010571E"/>
    <w:rsid w:val="00105919"/>
    <w:rsid w:val="00106254"/>
    <w:rsid w:val="001062FB"/>
    <w:rsid w:val="001063E6"/>
    <w:rsid w:val="0010662B"/>
    <w:rsid w:val="00106950"/>
    <w:rsid w:val="001073F5"/>
    <w:rsid w:val="0011240C"/>
    <w:rsid w:val="001139AF"/>
    <w:rsid w:val="00113CF4"/>
    <w:rsid w:val="001153EA"/>
    <w:rsid w:val="00115643"/>
    <w:rsid w:val="00116765"/>
    <w:rsid w:val="0012008D"/>
    <w:rsid w:val="001219F5"/>
    <w:rsid w:val="00121A20"/>
    <w:rsid w:val="00122097"/>
    <w:rsid w:val="0012247A"/>
    <w:rsid w:val="001226F0"/>
    <w:rsid w:val="001235EC"/>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002A"/>
    <w:rsid w:val="0014163F"/>
    <w:rsid w:val="001453A4"/>
    <w:rsid w:val="001455EA"/>
    <w:rsid w:val="00151E23"/>
    <w:rsid w:val="001520EF"/>
    <w:rsid w:val="0015254A"/>
    <w:rsid w:val="001526E0"/>
    <w:rsid w:val="0015461E"/>
    <w:rsid w:val="00154B25"/>
    <w:rsid w:val="00154CF9"/>
    <w:rsid w:val="001551B5"/>
    <w:rsid w:val="0015569D"/>
    <w:rsid w:val="00155B62"/>
    <w:rsid w:val="001604BA"/>
    <w:rsid w:val="001605C2"/>
    <w:rsid w:val="001624E1"/>
    <w:rsid w:val="001637C8"/>
    <w:rsid w:val="001659C1"/>
    <w:rsid w:val="00173A1C"/>
    <w:rsid w:val="00173A8E"/>
    <w:rsid w:val="00174037"/>
    <w:rsid w:val="001753BB"/>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1E69"/>
    <w:rsid w:val="001A2564"/>
    <w:rsid w:val="001A3C6F"/>
    <w:rsid w:val="001A6173"/>
    <w:rsid w:val="001A6CBA"/>
    <w:rsid w:val="001A6EB2"/>
    <w:rsid w:val="001B0D97"/>
    <w:rsid w:val="001B1B57"/>
    <w:rsid w:val="001B275F"/>
    <w:rsid w:val="001B2BAD"/>
    <w:rsid w:val="001B329B"/>
    <w:rsid w:val="001B4327"/>
    <w:rsid w:val="001B57BC"/>
    <w:rsid w:val="001B5A5D"/>
    <w:rsid w:val="001B6563"/>
    <w:rsid w:val="001C018B"/>
    <w:rsid w:val="001C1CE5"/>
    <w:rsid w:val="001C32EB"/>
    <w:rsid w:val="001C3D2A"/>
    <w:rsid w:val="001C41A2"/>
    <w:rsid w:val="001C42AA"/>
    <w:rsid w:val="001C4323"/>
    <w:rsid w:val="001C6CFB"/>
    <w:rsid w:val="001C7608"/>
    <w:rsid w:val="001D0049"/>
    <w:rsid w:val="001D05A0"/>
    <w:rsid w:val="001D28DB"/>
    <w:rsid w:val="001D2CEE"/>
    <w:rsid w:val="001D51BA"/>
    <w:rsid w:val="001D565D"/>
    <w:rsid w:val="001D6342"/>
    <w:rsid w:val="001D6458"/>
    <w:rsid w:val="001D6D53"/>
    <w:rsid w:val="001D784E"/>
    <w:rsid w:val="001E1A9A"/>
    <w:rsid w:val="001E2CD9"/>
    <w:rsid w:val="001E3055"/>
    <w:rsid w:val="001E44DD"/>
    <w:rsid w:val="001E4E74"/>
    <w:rsid w:val="001E58E2"/>
    <w:rsid w:val="001E7879"/>
    <w:rsid w:val="001E7AED"/>
    <w:rsid w:val="001F3916"/>
    <w:rsid w:val="001F3E9B"/>
    <w:rsid w:val="001F54C5"/>
    <w:rsid w:val="001F62B7"/>
    <w:rsid w:val="001F662C"/>
    <w:rsid w:val="001F6A12"/>
    <w:rsid w:val="001F6BF7"/>
    <w:rsid w:val="001F7074"/>
    <w:rsid w:val="001F7581"/>
    <w:rsid w:val="00200490"/>
    <w:rsid w:val="00201F3A"/>
    <w:rsid w:val="00202310"/>
    <w:rsid w:val="00203F96"/>
    <w:rsid w:val="002057DC"/>
    <w:rsid w:val="002069B2"/>
    <w:rsid w:val="0020779C"/>
    <w:rsid w:val="00207AAB"/>
    <w:rsid w:val="00207FA3"/>
    <w:rsid w:val="002105E2"/>
    <w:rsid w:val="00214425"/>
    <w:rsid w:val="00214DA8"/>
    <w:rsid w:val="00214FAC"/>
    <w:rsid w:val="00215423"/>
    <w:rsid w:val="002158FA"/>
    <w:rsid w:val="002170E5"/>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300"/>
    <w:rsid w:val="002435B3"/>
    <w:rsid w:val="00244B38"/>
    <w:rsid w:val="002458EB"/>
    <w:rsid w:val="002500C8"/>
    <w:rsid w:val="00252120"/>
    <w:rsid w:val="00252D36"/>
    <w:rsid w:val="002534E4"/>
    <w:rsid w:val="002548CE"/>
    <w:rsid w:val="0025506F"/>
    <w:rsid w:val="00256018"/>
    <w:rsid w:val="00256492"/>
    <w:rsid w:val="0025681C"/>
    <w:rsid w:val="002568C2"/>
    <w:rsid w:val="00257543"/>
    <w:rsid w:val="002617E7"/>
    <w:rsid w:val="00263378"/>
    <w:rsid w:val="00264228"/>
    <w:rsid w:val="00264334"/>
    <w:rsid w:val="00264502"/>
    <w:rsid w:val="0026473E"/>
    <w:rsid w:val="002660EA"/>
    <w:rsid w:val="002661CA"/>
    <w:rsid w:val="00266214"/>
    <w:rsid w:val="00267C83"/>
    <w:rsid w:val="00267D26"/>
    <w:rsid w:val="00267DF5"/>
    <w:rsid w:val="00270F1E"/>
    <w:rsid w:val="0027144F"/>
    <w:rsid w:val="00271F3A"/>
    <w:rsid w:val="002722D9"/>
    <w:rsid w:val="00273278"/>
    <w:rsid w:val="002737F4"/>
    <w:rsid w:val="00273A8C"/>
    <w:rsid w:val="002740C9"/>
    <w:rsid w:val="0027573B"/>
    <w:rsid w:val="00275891"/>
    <w:rsid w:val="00280255"/>
    <w:rsid w:val="002805F5"/>
    <w:rsid w:val="00280751"/>
    <w:rsid w:val="00280DD1"/>
    <w:rsid w:val="0028280A"/>
    <w:rsid w:val="00282DE2"/>
    <w:rsid w:val="00285006"/>
    <w:rsid w:val="002866ED"/>
    <w:rsid w:val="00286ACD"/>
    <w:rsid w:val="00286E5F"/>
    <w:rsid w:val="00287838"/>
    <w:rsid w:val="002907B5"/>
    <w:rsid w:val="00290D78"/>
    <w:rsid w:val="0029126F"/>
    <w:rsid w:val="00292E27"/>
    <w:rsid w:val="00292E37"/>
    <w:rsid w:val="00292EB7"/>
    <w:rsid w:val="00294949"/>
    <w:rsid w:val="00295A29"/>
    <w:rsid w:val="00296227"/>
    <w:rsid w:val="0029649E"/>
    <w:rsid w:val="00296F44"/>
    <w:rsid w:val="0029777D"/>
    <w:rsid w:val="002A055E"/>
    <w:rsid w:val="002A1D4E"/>
    <w:rsid w:val="002A2869"/>
    <w:rsid w:val="002A63E0"/>
    <w:rsid w:val="002A6D04"/>
    <w:rsid w:val="002B1248"/>
    <w:rsid w:val="002B24D6"/>
    <w:rsid w:val="002B47F1"/>
    <w:rsid w:val="002B6B5F"/>
    <w:rsid w:val="002B6D09"/>
    <w:rsid w:val="002B7410"/>
    <w:rsid w:val="002C07BE"/>
    <w:rsid w:val="002C33BD"/>
    <w:rsid w:val="002C41E6"/>
    <w:rsid w:val="002D071A"/>
    <w:rsid w:val="002D34B2"/>
    <w:rsid w:val="002D58AC"/>
    <w:rsid w:val="002D5EEC"/>
    <w:rsid w:val="002D68B7"/>
    <w:rsid w:val="002D743C"/>
    <w:rsid w:val="002D7637"/>
    <w:rsid w:val="002E083C"/>
    <w:rsid w:val="002E08E1"/>
    <w:rsid w:val="002E17F2"/>
    <w:rsid w:val="002E3BFB"/>
    <w:rsid w:val="002E6B09"/>
    <w:rsid w:val="002E7512"/>
    <w:rsid w:val="002E7CAE"/>
    <w:rsid w:val="002F025C"/>
    <w:rsid w:val="002F2633"/>
    <w:rsid w:val="002F2771"/>
    <w:rsid w:val="002F37A9"/>
    <w:rsid w:val="002F3EC2"/>
    <w:rsid w:val="002F6118"/>
    <w:rsid w:val="002F7567"/>
    <w:rsid w:val="00301CE6"/>
    <w:rsid w:val="00301FA7"/>
    <w:rsid w:val="0030256B"/>
    <w:rsid w:val="00302E89"/>
    <w:rsid w:val="003041F1"/>
    <w:rsid w:val="0030501F"/>
    <w:rsid w:val="00305473"/>
    <w:rsid w:val="00305A81"/>
    <w:rsid w:val="0030603B"/>
    <w:rsid w:val="0030706D"/>
    <w:rsid w:val="00307220"/>
    <w:rsid w:val="00307263"/>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1A96"/>
    <w:rsid w:val="003523C5"/>
    <w:rsid w:val="00352727"/>
    <w:rsid w:val="0035491B"/>
    <w:rsid w:val="00355170"/>
    <w:rsid w:val="0035537E"/>
    <w:rsid w:val="00357380"/>
    <w:rsid w:val="003602D9"/>
    <w:rsid w:val="003604CE"/>
    <w:rsid w:val="00360CE2"/>
    <w:rsid w:val="003611BD"/>
    <w:rsid w:val="00362B7D"/>
    <w:rsid w:val="0036355F"/>
    <w:rsid w:val="0036381E"/>
    <w:rsid w:val="00365A7D"/>
    <w:rsid w:val="00367868"/>
    <w:rsid w:val="00370E47"/>
    <w:rsid w:val="00371A08"/>
    <w:rsid w:val="00372934"/>
    <w:rsid w:val="003742AC"/>
    <w:rsid w:val="00377CE1"/>
    <w:rsid w:val="003813DB"/>
    <w:rsid w:val="0038499A"/>
    <w:rsid w:val="003857F0"/>
    <w:rsid w:val="00385BF0"/>
    <w:rsid w:val="003874FA"/>
    <w:rsid w:val="00390896"/>
    <w:rsid w:val="003939FF"/>
    <w:rsid w:val="00397D1E"/>
    <w:rsid w:val="003A13F4"/>
    <w:rsid w:val="003A2223"/>
    <w:rsid w:val="003A2A0F"/>
    <w:rsid w:val="003A371D"/>
    <w:rsid w:val="003A41FB"/>
    <w:rsid w:val="003A45A1"/>
    <w:rsid w:val="003A54E5"/>
    <w:rsid w:val="003A561A"/>
    <w:rsid w:val="003A5B0A"/>
    <w:rsid w:val="003A6BAC"/>
    <w:rsid w:val="003A6D7A"/>
    <w:rsid w:val="003A7EF3"/>
    <w:rsid w:val="003B14DC"/>
    <w:rsid w:val="003B159C"/>
    <w:rsid w:val="003B1ABE"/>
    <w:rsid w:val="003B33BD"/>
    <w:rsid w:val="003B369F"/>
    <w:rsid w:val="003B36A3"/>
    <w:rsid w:val="003B460B"/>
    <w:rsid w:val="003B6F91"/>
    <w:rsid w:val="003B7478"/>
    <w:rsid w:val="003B7F7A"/>
    <w:rsid w:val="003B7FE5"/>
    <w:rsid w:val="003C0337"/>
    <w:rsid w:val="003C11C8"/>
    <w:rsid w:val="003C1A93"/>
    <w:rsid w:val="003C2702"/>
    <w:rsid w:val="003C3AD6"/>
    <w:rsid w:val="003C4552"/>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19E"/>
    <w:rsid w:val="00402E2B"/>
    <w:rsid w:val="0040497D"/>
    <w:rsid w:val="0040512B"/>
    <w:rsid w:val="00405CA5"/>
    <w:rsid w:val="00406DE0"/>
    <w:rsid w:val="00407CD3"/>
    <w:rsid w:val="00407CFC"/>
    <w:rsid w:val="00410134"/>
    <w:rsid w:val="00410B72"/>
    <w:rsid w:val="00410F18"/>
    <w:rsid w:val="00410FAA"/>
    <w:rsid w:val="00411F21"/>
    <w:rsid w:val="0041263E"/>
    <w:rsid w:val="00413AAC"/>
    <w:rsid w:val="00416349"/>
    <w:rsid w:val="004163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4F56"/>
    <w:rsid w:val="00446488"/>
    <w:rsid w:val="00450543"/>
    <w:rsid w:val="00450776"/>
    <w:rsid w:val="0045113D"/>
    <w:rsid w:val="004517AA"/>
    <w:rsid w:val="00452AD6"/>
    <w:rsid w:val="00452CAC"/>
    <w:rsid w:val="004553B3"/>
    <w:rsid w:val="00456989"/>
    <w:rsid w:val="00457526"/>
    <w:rsid w:val="00457565"/>
    <w:rsid w:val="00457B71"/>
    <w:rsid w:val="00460238"/>
    <w:rsid w:val="004626FF"/>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3C8E"/>
    <w:rsid w:val="004964F1"/>
    <w:rsid w:val="00496C6F"/>
    <w:rsid w:val="00496EFA"/>
    <w:rsid w:val="004A139C"/>
    <w:rsid w:val="004A16BC"/>
    <w:rsid w:val="004A1EB8"/>
    <w:rsid w:val="004A2B94"/>
    <w:rsid w:val="004A2C20"/>
    <w:rsid w:val="004A36C1"/>
    <w:rsid w:val="004A3AB1"/>
    <w:rsid w:val="004A635C"/>
    <w:rsid w:val="004A6C27"/>
    <w:rsid w:val="004B0189"/>
    <w:rsid w:val="004B099E"/>
    <w:rsid w:val="004B1894"/>
    <w:rsid w:val="004B1DC9"/>
    <w:rsid w:val="004B4BA8"/>
    <w:rsid w:val="004B5590"/>
    <w:rsid w:val="004B5900"/>
    <w:rsid w:val="004B6085"/>
    <w:rsid w:val="004B7C0C"/>
    <w:rsid w:val="004C0333"/>
    <w:rsid w:val="004C1157"/>
    <w:rsid w:val="004C2D6B"/>
    <w:rsid w:val="004C2DB9"/>
    <w:rsid w:val="004C3898"/>
    <w:rsid w:val="004D18FD"/>
    <w:rsid w:val="004D2B8F"/>
    <w:rsid w:val="004D2FF8"/>
    <w:rsid w:val="004D36B1"/>
    <w:rsid w:val="004D3E7C"/>
    <w:rsid w:val="004D4482"/>
    <w:rsid w:val="004D4846"/>
    <w:rsid w:val="004D7789"/>
    <w:rsid w:val="004D7EBD"/>
    <w:rsid w:val="004E011C"/>
    <w:rsid w:val="004E1AA6"/>
    <w:rsid w:val="004E20FA"/>
    <w:rsid w:val="004E2680"/>
    <w:rsid w:val="004E28F9"/>
    <w:rsid w:val="004E2AFF"/>
    <w:rsid w:val="004E30FB"/>
    <w:rsid w:val="004E462E"/>
    <w:rsid w:val="004E51DE"/>
    <w:rsid w:val="004E56DC"/>
    <w:rsid w:val="004E76F4"/>
    <w:rsid w:val="004F0B4E"/>
    <w:rsid w:val="004F0B6C"/>
    <w:rsid w:val="004F1C73"/>
    <w:rsid w:val="004F1E92"/>
    <w:rsid w:val="004F2006"/>
    <w:rsid w:val="004F2078"/>
    <w:rsid w:val="004F3FD6"/>
    <w:rsid w:val="004F48C5"/>
    <w:rsid w:val="004F4DA3"/>
    <w:rsid w:val="004F5E12"/>
    <w:rsid w:val="004F5F61"/>
    <w:rsid w:val="004F60CC"/>
    <w:rsid w:val="004F671A"/>
    <w:rsid w:val="005030DF"/>
    <w:rsid w:val="00506557"/>
    <w:rsid w:val="0050677A"/>
    <w:rsid w:val="00506BEC"/>
    <w:rsid w:val="005100CE"/>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8BF"/>
    <w:rsid w:val="00543E66"/>
    <w:rsid w:val="00545BEC"/>
    <w:rsid w:val="00546970"/>
    <w:rsid w:val="00547892"/>
    <w:rsid w:val="005504E9"/>
    <w:rsid w:val="00552BAD"/>
    <w:rsid w:val="00552FFF"/>
    <w:rsid w:val="00553725"/>
    <w:rsid w:val="00554E19"/>
    <w:rsid w:val="0055519A"/>
    <w:rsid w:val="005556EE"/>
    <w:rsid w:val="00556FCA"/>
    <w:rsid w:val="00557215"/>
    <w:rsid w:val="0056121F"/>
    <w:rsid w:val="00562B45"/>
    <w:rsid w:val="00564010"/>
    <w:rsid w:val="005643B6"/>
    <w:rsid w:val="00566F82"/>
    <w:rsid w:val="00567AB8"/>
    <w:rsid w:val="005718ED"/>
    <w:rsid w:val="00571E19"/>
    <w:rsid w:val="00572505"/>
    <w:rsid w:val="0057255B"/>
    <w:rsid w:val="0057297B"/>
    <w:rsid w:val="00577537"/>
    <w:rsid w:val="00577CFD"/>
    <w:rsid w:val="00577FCF"/>
    <w:rsid w:val="005800C8"/>
    <w:rsid w:val="00581861"/>
    <w:rsid w:val="00581E9B"/>
    <w:rsid w:val="00582809"/>
    <w:rsid w:val="005840E2"/>
    <w:rsid w:val="005841C5"/>
    <w:rsid w:val="00584C5E"/>
    <w:rsid w:val="00587405"/>
    <w:rsid w:val="0058798C"/>
    <w:rsid w:val="005900FA"/>
    <w:rsid w:val="005913F2"/>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9AC"/>
    <w:rsid w:val="005B3AA3"/>
    <w:rsid w:val="005B591A"/>
    <w:rsid w:val="005B6F83"/>
    <w:rsid w:val="005B7226"/>
    <w:rsid w:val="005C08FE"/>
    <w:rsid w:val="005C2A99"/>
    <w:rsid w:val="005C31A3"/>
    <w:rsid w:val="005C4052"/>
    <w:rsid w:val="005C4E99"/>
    <w:rsid w:val="005C74FB"/>
    <w:rsid w:val="005C7D0A"/>
    <w:rsid w:val="005D1602"/>
    <w:rsid w:val="005D20A9"/>
    <w:rsid w:val="005D6B20"/>
    <w:rsid w:val="005D6E93"/>
    <w:rsid w:val="005E0965"/>
    <w:rsid w:val="005E107B"/>
    <w:rsid w:val="005E18D3"/>
    <w:rsid w:val="005E1B00"/>
    <w:rsid w:val="005E385F"/>
    <w:rsid w:val="005E3AA0"/>
    <w:rsid w:val="005E3CE4"/>
    <w:rsid w:val="005E4BC2"/>
    <w:rsid w:val="005E4D5E"/>
    <w:rsid w:val="005E5B81"/>
    <w:rsid w:val="005E60BD"/>
    <w:rsid w:val="005E6A28"/>
    <w:rsid w:val="005E6DEF"/>
    <w:rsid w:val="005E7FC4"/>
    <w:rsid w:val="005F0774"/>
    <w:rsid w:val="005F0AC2"/>
    <w:rsid w:val="005F2CB1"/>
    <w:rsid w:val="005F3025"/>
    <w:rsid w:val="005F523D"/>
    <w:rsid w:val="005F5392"/>
    <w:rsid w:val="005F57FE"/>
    <w:rsid w:val="005F58D1"/>
    <w:rsid w:val="005F5AC1"/>
    <w:rsid w:val="005F5B64"/>
    <w:rsid w:val="005F618C"/>
    <w:rsid w:val="005F70BD"/>
    <w:rsid w:val="006004FE"/>
    <w:rsid w:val="0060283C"/>
    <w:rsid w:val="00602C45"/>
    <w:rsid w:val="00604F14"/>
    <w:rsid w:val="00610237"/>
    <w:rsid w:val="00610E96"/>
    <w:rsid w:val="00610F9B"/>
    <w:rsid w:val="00611A4B"/>
    <w:rsid w:val="00611B83"/>
    <w:rsid w:val="00613257"/>
    <w:rsid w:val="00616D52"/>
    <w:rsid w:val="00617B90"/>
    <w:rsid w:val="00620A71"/>
    <w:rsid w:val="00620D80"/>
    <w:rsid w:val="0062271F"/>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42DB"/>
    <w:rsid w:val="00635801"/>
    <w:rsid w:val="0063628E"/>
    <w:rsid w:val="00636398"/>
    <w:rsid w:val="006368D3"/>
    <w:rsid w:val="00636E76"/>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5C"/>
    <w:rsid w:val="006613A6"/>
    <w:rsid w:val="00661EFD"/>
    <w:rsid w:val="006623A4"/>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12B"/>
    <w:rsid w:val="006C5989"/>
    <w:rsid w:val="006C5D43"/>
    <w:rsid w:val="006C5EC9"/>
    <w:rsid w:val="006C6059"/>
    <w:rsid w:val="006C7522"/>
    <w:rsid w:val="006D0349"/>
    <w:rsid w:val="006D03A4"/>
    <w:rsid w:val="006D50D9"/>
    <w:rsid w:val="006D6F08"/>
    <w:rsid w:val="006D7A3C"/>
    <w:rsid w:val="006E062C"/>
    <w:rsid w:val="006E260C"/>
    <w:rsid w:val="006E2758"/>
    <w:rsid w:val="006E28B7"/>
    <w:rsid w:val="006E31F8"/>
    <w:rsid w:val="006E3310"/>
    <w:rsid w:val="006E4E39"/>
    <w:rsid w:val="006E565E"/>
    <w:rsid w:val="006E673D"/>
    <w:rsid w:val="006E6C6E"/>
    <w:rsid w:val="006E7D3B"/>
    <w:rsid w:val="006F0430"/>
    <w:rsid w:val="006F0B28"/>
    <w:rsid w:val="006F1B70"/>
    <w:rsid w:val="006F2264"/>
    <w:rsid w:val="006F2878"/>
    <w:rsid w:val="006F29F9"/>
    <w:rsid w:val="006F2C00"/>
    <w:rsid w:val="006F341D"/>
    <w:rsid w:val="006F3800"/>
    <w:rsid w:val="006F3A15"/>
    <w:rsid w:val="006F3CDE"/>
    <w:rsid w:val="006F42B9"/>
    <w:rsid w:val="006F58D4"/>
    <w:rsid w:val="006F5D56"/>
    <w:rsid w:val="0070092A"/>
    <w:rsid w:val="0070290B"/>
    <w:rsid w:val="00702DA3"/>
    <w:rsid w:val="0070346E"/>
    <w:rsid w:val="00703F63"/>
    <w:rsid w:val="007044DA"/>
    <w:rsid w:val="00704EDB"/>
    <w:rsid w:val="007056D4"/>
    <w:rsid w:val="00706101"/>
    <w:rsid w:val="007063C7"/>
    <w:rsid w:val="00706C9D"/>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5CB3"/>
    <w:rsid w:val="00726CC7"/>
    <w:rsid w:val="00726EA6"/>
    <w:rsid w:val="00727208"/>
    <w:rsid w:val="00727680"/>
    <w:rsid w:val="007309A9"/>
    <w:rsid w:val="00730DB3"/>
    <w:rsid w:val="00733300"/>
    <w:rsid w:val="0073376B"/>
    <w:rsid w:val="007348B1"/>
    <w:rsid w:val="00734DD5"/>
    <w:rsid w:val="007362A6"/>
    <w:rsid w:val="00736D7D"/>
    <w:rsid w:val="00740E58"/>
    <w:rsid w:val="00741DDD"/>
    <w:rsid w:val="00743E52"/>
    <w:rsid w:val="007441B0"/>
    <w:rsid w:val="00744583"/>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27DE"/>
    <w:rsid w:val="00764D79"/>
    <w:rsid w:val="00765281"/>
    <w:rsid w:val="00766BAD"/>
    <w:rsid w:val="00767FBE"/>
    <w:rsid w:val="00770093"/>
    <w:rsid w:val="00771E8F"/>
    <w:rsid w:val="007730BD"/>
    <w:rsid w:val="0077347F"/>
    <w:rsid w:val="007755F2"/>
    <w:rsid w:val="00776971"/>
    <w:rsid w:val="00776D25"/>
    <w:rsid w:val="007804D5"/>
    <w:rsid w:val="00780B3C"/>
    <w:rsid w:val="00780E5D"/>
    <w:rsid w:val="0078177E"/>
    <w:rsid w:val="007824D9"/>
    <w:rsid w:val="0078304C"/>
    <w:rsid w:val="00783673"/>
    <w:rsid w:val="00783930"/>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96C82"/>
    <w:rsid w:val="007A0373"/>
    <w:rsid w:val="007A0680"/>
    <w:rsid w:val="007A1252"/>
    <w:rsid w:val="007A1CB3"/>
    <w:rsid w:val="007A23A4"/>
    <w:rsid w:val="007A265C"/>
    <w:rsid w:val="007A306F"/>
    <w:rsid w:val="007A3782"/>
    <w:rsid w:val="007A3BFC"/>
    <w:rsid w:val="007A43A6"/>
    <w:rsid w:val="007A4E7D"/>
    <w:rsid w:val="007A4F2F"/>
    <w:rsid w:val="007A58A6"/>
    <w:rsid w:val="007A776B"/>
    <w:rsid w:val="007A7866"/>
    <w:rsid w:val="007B179F"/>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2C71"/>
    <w:rsid w:val="007E331C"/>
    <w:rsid w:val="007E4610"/>
    <w:rsid w:val="007E4715"/>
    <w:rsid w:val="007E505B"/>
    <w:rsid w:val="007E6E23"/>
    <w:rsid w:val="007E7091"/>
    <w:rsid w:val="007F0CB8"/>
    <w:rsid w:val="007F0D21"/>
    <w:rsid w:val="007F68B0"/>
    <w:rsid w:val="00800807"/>
    <w:rsid w:val="008019D4"/>
    <w:rsid w:val="00803FAE"/>
    <w:rsid w:val="0080564D"/>
    <w:rsid w:val="00805667"/>
    <w:rsid w:val="0080566E"/>
    <w:rsid w:val="00805CC2"/>
    <w:rsid w:val="0080605F"/>
    <w:rsid w:val="00806ACB"/>
    <w:rsid w:val="00806C91"/>
    <w:rsid w:val="00807786"/>
    <w:rsid w:val="00807F95"/>
    <w:rsid w:val="00810BAA"/>
    <w:rsid w:val="0081186A"/>
    <w:rsid w:val="00811FCB"/>
    <w:rsid w:val="008121CF"/>
    <w:rsid w:val="00812232"/>
    <w:rsid w:val="008137A9"/>
    <w:rsid w:val="0081394C"/>
    <w:rsid w:val="0081420C"/>
    <w:rsid w:val="008158D6"/>
    <w:rsid w:val="0081673D"/>
    <w:rsid w:val="00817196"/>
    <w:rsid w:val="00817AB8"/>
    <w:rsid w:val="00817D79"/>
    <w:rsid w:val="00820D90"/>
    <w:rsid w:val="00821225"/>
    <w:rsid w:val="00822132"/>
    <w:rsid w:val="008235DB"/>
    <w:rsid w:val="00824AB4"/>
    <w:rsid w:val="00825C42"/>
    <w:rsid w:val="00825D25"/>
    <w:rsid w:val="008264D8"/>
    <w:rsid w:val="00826B65"/>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480"/>
    <w:rsid w:val="00845BF3"/>
    <w:rsid w:val="00846FE7"/>
    <w:rsid w:val="00850C8C"/>
    <w:rsid w:val="00850F9B"/>
    <w:rsid w:val="00852AB4"/>
    <w:rsid w:val="00853262"/>
    <w:rsid w:val="008534AE"/>
    <w:rsid w:val="00854F97"/>
    <w:rsid w:val="00856911"/>
    <w:rsid w:val="00857F0A"/>
    <w:rsid w:val="00861B7F"/>
    <w:rsid w:val="008620D5"/>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0DA"/>
    <w:rsid w:val="008A51A8"/>
    <w:rsid w:val="008A53B4"/>
    <w:rsid w:val="008A54C7"/>
    <w:rsid w:val="008A6B33"/>
    <w:rsid w:val="008A77D8"/>
    <w:rsid w:val="008B00A2"/>
    <w:rsid w:val="008B047F"/>
    <w:rsid w:val="008B0483"/>
    <w:rsid w:val="008B080F"/>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E1D5C"/>
    <w:rsid w:val="008F099E"/>
    <w:rsid w:val="008F0E3D"/>
    <w:rsid w:val="008F1EAB"/>
    <w:rsid w:val="008F2ED9"/>
    <w:rsid w:val="008F33DC"/>
    <w:rsid w:val="008F4641"/>
    <w:rsid w:val="008F477F"/>
    <w:rsid w:val="008F6912"/>
    <w:rsid w:val="008F6C3A"/>
    <w:rsid w:val="008F7993"/>
    <w:rsid w:val="0090206F"/>
    <w:rsid w:val="00902208"/>
    <w:rsid w:val="00902350"/>
    <w:rsid w:val="00902391"/>
    <w:rsid w:val="0090336B"/>
    <w:rsid w:val="009033FC"/>
    <w:rsid w:val="009041DE"/>
    <w:rsid w:val="00904D52"/>
    <w:rsid w:val="009050E7"/>
    <w:rsid w:val="0090515D"/>
    <w:rsid w:val="009053AA"/>
    <w:rsid w:val="00905768"/>
    <w:rsid w:val="00906939"/>
    <w:rsid w:val="00910B7D"/>
    <w:rsid w:val="00911DFB"/>
    <w:rsid w:val="00912BB8"/>
    <w:rsid w:val="00912FFB"/>
    <w:rsid w:val="0091386D"/>
    <w:rsid w:val="009139D9"/>
    <w:rsid w:val="00913A6D"/>
    <w:rsid w:val="00913B7D"/>
    <w:rsid w:val="00914AD8"/>
    <w:rsid w:val="00914DB8"/>
    <w:rsid w:val="00915C9C"/>
    <w:rsid w:val="00915FEE"/>
    <w:rsid w:val="00916079"/>
    <w:rsid w:val="009161D1"/>
    <w:rsid w:val="00916E93"/>
    <w:rsid w:val="00917CE9"/>
    <w:rsid w:val="00920BF2"/>
    <w:rsid w:val="00922010"/>
    <w:rsid w:val="00923D5A"/>
    <w:rsid w:val="009241A0"/>
    <w:rsid w:val="0092482D"/>
    <w:rsid w:val="0092521A"/>
    <w:rsid w:val="00925515"/>
    <w:rsid w:val="00925FFA"/>
    <w:rsid w:val="00926933"/>
    <w:rsid w:val="00927CDC"/>
    <w:rsid w:val="0093125F"/>
    <w:rsid w:val="00931BD9"/>
    <w:rsid w:val="009368F3"/>
    <w:rsid w:val="009406CC"/>
    <w:rsid w:val="00940736"/>
    <w:rsid w:val="009412A0"/>
    <w:rsid w:val="00941636"/>
    <w:rsid w:val="00942476"/>
    <w:rsid w:val="0094301D"/>
    <w:rsid w:val="00943742"/>
    <w:rsid w:val="009440AC"/>
    <w:rsid w:val="00944258"/>
    <w:rsid w:val="0094430A"/>
    <w:rsid w:val="00945541"/>
    <w:rsid w:val="009459A4"/>
    <w:rsid w:val="00945C05"/>
    <w:rsid w:val="00946945"/>
    <w:rsid w:val="00947713"/>
    <w:rsid w:val="00950DE7"/>
    <w:rsid w:val="0095292F"/>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77A59"/>
    <w:rsid w:val="00980477"/>
    <w:rsid w:val="009825EA"/>
    <w:rsid w:val="0098269E"/>
    <w:rsid w:val="009831A4"/>
    <w:rsid w:val="009846B2"/>
    <w:rsid w:val="009849BA"/>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C6B"/>
    <w:rsid w:val="009A1FFA"/>
    <w:rsid w:val="009A4167"/>
    <w:rsid w:val="009A44F0"/>
    <w:rsid w:val="009A462D"/>
    <w:rsid w:val="009A475C"/>
    <w:rsid w:val="009A5CBA"/>
    <w:rsid w:val="009A6166"/>
    <w:rsid w:val="009A69AE"/>
    <w:rsid w:val="009B147A"/>
    <w:rsid w:val="009B168F"/>
    <w:rsid w:val="009B1F30"/>
    <w:rsid w:val="009B299E"/>
    <w:rsid w:val="009B2B58"/>
    <w:rsid w:val="009B36E0"/>
    <w:rsid w:val="009B3AC2"/>
    <w:rsid w:val="009B416C"/>
    <w:rsid w:val="009B4DF4"/>
    <w:rsid w:val="009B527E"/>
    <w:rsid w:val="009B564E"/>
    <w:rsid w:val="009B62C6"/>
    <w:rsid w:val="009B67E6"/>
    <w:rsid w:val="009B77A1"/>
    <w:rsid w:val="009B7A39"/>
    <w:rsid w:val="009B7D5E"/>
    <w:rsid w:val="009B7E87"/>
    <w:rsid w:val="009C21F4"/>
    <w:rsid w:val="009C304C"/>
    <w:rsid w:val="009C320F"/>
    <w:rsid w:val="009C403E"/>
    <w:rsid w:val="009C46BB"/>
    <w:rsid w:val="009C5998"/>
    <w:rsid w:val="009D179C"/>
    <w:rsid w:val="009D35E9"/>
    <w:rsid w:val="009D4315"/>
    <w:rsid w:val="009D4FF0"/>
    <w:rsid w:val="009D703C"/>
    <w:rsid w:val="009D718F"/>
    <w:rsid w:val="009E068F"/>
    <w:rsid w:val="009E0C66"/>
    <w:rsid w:val="009E1018"/>
    <w:rsid w:val="009E14E0"/>
    <w:rsid w:val="009E1A1A"/>
    <w:rsid w:val="009E2A5E"/>
    <w:rsid w:val="009E32FD"/>
    <w:rsid w:val="009E35DB"/>
    <w:rsid w:val="009E364C"/>
    <w:rsid w:val="009E40BA"/>
    <w:rsid w:val="009E47A3"/>
    <w:rsid w:val="009E486E"/>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0516C"/>
    <w:rsid w:val="00A122E5"/>
    <w:rsid w:val="00A13E54"/>
    <w:rsid w:val="00A142EB"/>
    <w:rsid w:val="00A157AA"/>
    <w:rsid w:val="00A1674E"/>
    <w:rsid w:val="00A172A6"/>
    <w:rsid w:val="00A17701"/>
    <w:rsid w:val="00A17F63"/>
    <w:rsid w:val="00A2052C"/>
    <w:rsid w:val="00A21325"/>
    <w:rsid w:val="00A2193B"/>
    <w:rsid w:val="00A22C3E"/>
    <w:rsid w:val="00A22F85"/>
    <w:rsid w:val="00A2351A"/>
    <w:rsid w:val="00A24077"/>
    <w:rsid w:val="00A24937"/>
    <w:rsid w:val="00A24B49"/>
    <w:rsid w:val="00A25656"/>
    <w:rsid w:val="00A264A9"/>
    <w:rsid w:val="00A270D6"/>
    <w:rsid w:val="00A273CD"/>
    <w:rsid w:val="00A2744E"/>
    <w:rsid w:val="00A27785"/>
    <w:rsid w:val="00A27AA7"/>
    <w:rsid w:val="00A27C60"/>
    <w:rsid w:val="00A30187"/>
    <w:rsid w:val="00A3371A"/>
    <w:rsid w:val="00A3448A"/>
    <w:rsid w:val="00A35BC8"/>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4349"/>
    <w:rsid w:val="00A560D1"/>
    <w:rsid w:val="00A5685B"/>
    <w:rsid w:val="00A57BE4"/>
    <w:rsid w:val="00A57FC9"/>
    <w:rsid w:val="00A607AB"/>
    <w:rsid w:val="00A61499"/>
    <w:rsid w:val="00A61EDA"/>
    <w:rsid w:val="00A623A2"/>
    <w:rsid w:val="00A6261D"/>
    <w:rsid w:val="00A62A77"/>
    <w:rsid w:val="00A63483"/>
    <w:rsid w:val="00A657D7"/>
    <w:rsid w:val="00A65B57"/>
    <w:rsid w:val="00A65EF2"/>
    <w:rsid w:val="00A660AC"/>
    <w:rsid w:val="00A6676E"/>
    <w:rsid w:val="00A66F55"/>
    <w:rsid w:val="00A675B3"/>
    <w:rsid w:val="00A67E6C"/>
    <w:rsid w:val="00A708DF"/>
    <w:rsid w:val="00A71373"/>
    <w:rsid w:val="00A71B99"/>
    <w:rsid w:val="00A71DBA"/>
    <w:rsid w:val="00A739D0"/>
    <w:rsid w:val="00A761B0"/>
    <w:rsid w:val="00A761D4"/>
    <w:rsid w:val="00A77943"/>
    <w:rsid w:val="00A77EC4"/>
    <w:rsid w:val="00A8109F"/>
    <w:rsid w:val="00A84554"/>
    <w:rsid w:val="00A8472B"/>
    <w:rsid w:val="00A8479A"/>
    <w:rsid w:val="00A858AB"/>
    <w:rsid w:val="00A87FD4"/>
    <w:rsid w:val="00A919CD"/>
    <w:rsid w:val="00A92879"/>
    <w:rsid w:val="00A94119"/>
    <w:rsid w:val="00A9442A"/>
    <w:rsid w:val="00A949E2"/>
    <w:rsid w:val="00A94A5A"/>
    <w:rsid w:val="00A958FB"/>
    <w:rsid w:val="00A96D82"/>
    <w:rsid w:val="00AA016F"/>
    <w:rsid w:val="00AA09BB"/>
    <w:rsid w:val="00AA1ED6"/>
    <w:rsid w:val="00AA3EE7"/>
    <w:rsid w:val="00AA4818"/>
    <w:rsid w:val="00AA51D6"/>
    <w:rsid w:val="00AB0BC8"/>
    <w:rsid w:val="00AB0E01"/>
    <w:rsid w:val="00AB11CA"/>
    <w:rsid w:val="00AB14D9"/>
    <w:rsid w:val="00AB44FE"/>
    <w:rsid w:val="00AB4AB8"/>
    <w:rsid w:val="00AB4E1F"/>
    <w:rsid w:val="00AB655E"/>
    <w:rsid w:val="00AB707C"/>
    <w:rsid w:val="00AC007F"/>
    <w:rsid w:val="00AC1E8C"/>
    <w:rsid w:val="00AC2ECD"/>
    <w:rsid w:val="00AC3119"/>
    <w:rsid w:val="00AC3974"/>
    <w:rsid w:val="00AC49FB"/>
    <w:rsid w:val="00AC5A10"/>
    <w:rsid w:val="00AC5FDF"/>
    <w:rsid w:val="00AC6CCA"/>
    <w:rsid w:val="00AD0AA3"/>
    <w:rsid w:val="00AD1865"/>
    <w:rsid w:val="00AD2EA5"/>
    <w:rsid w:val="00AD31AC"/>
    <w:rsid w:val="00AD38EE"/>
    <w:rsid w:val="00AD3F94"/>
    <w:rsid w:val="00AD4A5A"/>
    <w:rsid w:val="00AD4FB2"/>
    <w:rsid w:val="00AD70D9"/>
    <w:rsid w:val="00AE0B3C"/>
    <w:rsid w:val="00AE245A"/>
    <w:rsid w:val="00AE27AC"/>
    <w:rsid w:val="00AE3743"/>
    <w:rsid w:val="00AE4082"/>
    <w:rsid w:val="00AE40E0"/>
    <w:rsid w:val="00AE4DBA"/>
    <w:rsid w:val="00AE4F07"/>
    <w:rsid w:val="00AE674C"/>
    <w:rsid w:val="00AF124A"/>
    <w:rsid w:val="00AF1841"/>
    <w:rsid w:val="00AF1C5D"/>
    <w:rsid w:val="00AF205C"/>
    <w:rsid w:val="00AF26D3"/>
    <w:rsid w:val="00AF42D7"/>
    <w:rsid w:val="00AF72FC"/>
    <w:rsid w:val="00AF7443"/>
    <w:rsid w:val="00B0008B"/>
    <w:rsid w:val="00B006FE"/>
    <w:rsid w:val="00B007CB"/>
    <w:rsid w:val="00B0204A"/>
    <w:rsid w:val="00B0252B"/>
    <w:rsid w:val="00B02AA9"/>
    <w:rsid w:val="00B02FA3"/>
    <w:rsid w:val="00B05084"/>
    <w:rsid w:val="00B0619C"/>
    <w:rsid w:val="00B06978"/>
    <w:rsid w:val="00B06CD9"/>
    <w:rsid w:val="00B06F52"/>
    <w:rsid w:val="00B071D2"/>
    <w:rsid w:val="00B0771C"/>
    <w:rsid w:val="00B10F03"/>
    <w:rsid w:val="00B11E98"/>
    <w:rsid w:val="00B12BF3"/>
    <w:rsid w:val="00B1351F"/>
    <w:rsid w:val="00B13E02"/>
    <w:rsid w:val="00B157F9"/>
    <w:rsid w:val="00B20256"/>
    <w:rsid w:val="00B20D09"/>
    <w:rsid w:val="00B218DA"/>
    <w:rsid w:val="00B21D69"/>
    <w:rsid w:val="00B231B6"/>
    <w:rsid w:val="00B239E1"/>
    <w:rsid w:val="00B25BCC"/>
    <w:rsid w:val="00B2763F"/>
    <w:rsid w:val="00B27AAC"/>
    <w:rsid w:val="00B27FE0"/>
    <w:rsid w:val="00B300B9"/>
    <w:rsid w:val="00B30929"/>
    <w:rsid w:val="00B30D12"/>
    <w:rsid w:val="00B33D63"/>
    <w:rsid w:val="00B33E51"/>
    <w:rsid w:val="00B3587D"/>
    <w:rsid w:val="00B372AA"/>
    <w:rsid w:val="00B3745E"/>
    <w:rsid w:val="00B4043D"/>
    <w:rsid w:val="00B40445"/>
    <w:rsid w:val="00B40651"/>
    <w:rsid w:val="00B41273"/>
    <w:rsid w:val="00B4174B"/>
    <w:rsid w:val="00B41888"/>
    <w:rsid w:val="00B4306D"/>
    <w:rsid w:val="00B44C2A"/>
    <w:rsid w:val="00B45A52"/>
    <w:rsid w:val="00B46175"/>
    <w:rsid w:val="00B507FC"/>
    <w:rsid w:val="00B52127"/>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B5C"/>
    <w:rsid w:val="00B76635"/>
    <w:rsid w:val="00B775EE"/>
    <w:rsid w:val="00B77EC3"/>
    <w:rsid w:val="00B808DF"/>
    <w:rsid w:val="00B81A6C"/>
    <w:rsid w:val="00B81B51"/>
    <w:rsid w:val="00B85804"/>
    <w:rsid w:val="00B85DE5"/>
    <w:rsid w:val="00B872E6"/>
    <w:rsid w:val="00B90087"/>
    <w:rsid w:val="00B90C30"/>
    <w:rsid w:val="00B90F73"/>
    <w:rsid w:val="00B92A53"/>
    <w:rsid w:val="00B93B59"/>
    <w:rsid w:val="00B9406A"/>
    <w:rsid w:val="00B94939"/>
    <w:rsid w:val="00B956B1"/>
    <w:rsid w:val="00B9700A"/>
    <w:rsid w:val="00BA0844"/>
    <w:rsid w:val="00BA2280"/>
    <w:rsid w:val="00BA2A08"/>
    <w:rsid w:val="00BA4AEB"/>
    <w:rsid w:val="00BA56D2"/>
    <w:rsid w:val="00BA6643"/>
    <w:rsid w:val="00BA76E0"/>
    <w:rsid w:val="00BB1182"/>
    <w:rsid w:val="00BB13A9"/>
    <w:rsid w:val="00BB168A"/>
    <w:rsid w:val="00BB1918"/>
    <w:rsid w:val="00BB1DDC"/>
    <w:rsid w:val="00BB2A25"/>
    <w:rsid w:val="00BB3BC6"/>
    <w:rsid w:val="00BB438C"/>
    <w:rsid w:val="00BB5015"/>
    <w:rsid w:val="00BB5137"/>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E781E"/>
    <w:rsid w:val="00BF29DD"/>
    <w:rsid w:val="00BF3279"/>
    <w:rsid w:val="00BF6171"/>
    <w:rsid w:val="00BF6358"/>
    <w:rsid w:val="00BF63D2"/>
    <w:rsid w:val="00BF74C7"/>
    <w:rsid w:val="00C008CE"/>
    <w:rsid w:val="00C00D6E"/>
    <w:rsid w:val="00C015F1"/>
    <w:rsid w:val="00C01F33"/>
    <w:rsid w:val="00C02CC6"/>
    <w:rsid w:val="00C03648"/>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1B22"/>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12F"/>
    <w:rsid w:val="00C41D9F"/>
    <w:rsid w:val="00C4298D"/>
    <w:rsid w:val="00C42FB3"/>
    <w:rsid w:val="00C4736A"/>
    <w:rsid w:val="00C47B40"/>
    <w:rsid w:val="00C51FC0"/>
    <w:rsid w:val="00C52BC8"/>
    <w:rsid w:val="00C53768"/>
    <w:rsid w:val="00C53D4E"/>
    <w:rsid w:val="00C545C6"/>
    <w:rsid w:val="00C54995"/>
    <w:rsid w:val="00C54D41"/>
    <w:rsid w:val="00C555CE"/>
    <w:rsid w:val="00C55E46"/>
    <w:rsid w:val="00C56568"/>
    <w:rsid w:val="00C57ADB"/>
    <w:rsid w:val="00C60783"/>
    <w:rsid w:val="00C6120F"/>
    <w:rsid w:val="00C62162"/>
    <w:rsid w:val="00C64032"/>
    <w:rsid w:val="00C64672"/>
    <w:rsid w:val="00C666A0"/>
    <w:rsid w:val="00C67477"/>
    <w:rsid w:val="00C70697"/>
    <w:rsid w:val="00C72EF4"/>
    <w:rsid w:val="00C73CD9"/>
    <w:rsid w:val="00C73FFA"/>
    <w:rsid w:val="00C75598"/>
    <w:rsid w:val="00C75D2F"/>
    <w:rsid w:val="00C75D71"/>
    <w:rsid w:val="00C75FFE"/>
    <w:rsid w:val="00C7654F"/>
    <w:rsid w:val="00C767BE"/>
    <w:rsid w:val="00C76B3E"/>
    <w:rsid w:val="00C76E3C"/>
    <w:rsid w:val="00C77223"/>
    <w:rsid w:val="00C77C2F"/>
    <w:rsid w:val="00C812E3"/>
    <w:rsid w:val="00C81568"/>
    <w:rsid w:val="00C829AF"/>
    <w:rsid w:val="00C85A0D"/>
    <w:rsid w:val="00C86000"/>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A39B1"/>
    <w:rsid w:val="00CA640E"/>
    <w:rsid w:val="00CB1F63"/>
    <w:rsid w:val="00CB6A01"/>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1D32"/>
    <w:rsid w:val="00CE221B"/>
    <w:rsid w:val="00CE35A5"/>
    <w:rsid w:val="00CE68A9"/>
    <w:rsid w:val="00CE7561"/>
    <w:rsid w:val="00CE75C6"/>
    <w:rsid w:val="00CF0213"/>
    <w:rsid w:val="00CF0C9E"/>
    <w:rsid w:val="00CF10BB"/>
    <w:rsid w:val="00CF1354"/>
    <w:rsid w:val="00CF1B33"/>
    <w:rsid w:val="00CF3B1F"/>
    <w:rsid w:val="00CF3BF6"/>
    <w:rsid w:val="00CF3DF6"/>
    <w:rsid w:val="00CF51C8"/>
    <w:rsid w:val="00CF5613"/>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81D"/>
    <w:rsid w:val="00D07E78"/>
    <w:rsid w:val="00D10249"/>
    <w:rsid w:val="00D10A06"/>
    <w:rsid w:val="00D115C3"/>
    <w:rsid w:val="00D11897"/>
    <w:rsid w:val="00D12629"/>
    <w:rsid w:val="00D13135"/>
    <w:rsid w:val="00D13E4E"/>
    <w:rsid w:val="00D169D4"/>
    <w:rsid w:val="00D16B0B"/>
    <w:rsid w:val="00D16F08"/>
    <w:rsid w:val="00D172D2"/>
    <w:rsid w:val="00D239A7"/>
    <w:rsid w:val="00D23F47"/>
    <w:rsid w:val="00D240C4"/>
    <w:rsid w:val="00D25752"/>
    <w:rsid w:val="00D26297"/>
    <w:rsid w:val="00D269C2"/>
    <w:rsid w:val="00D3036B"/>
    <w:rsid w:val="00D30483"/>
    <w:rsid w:val="00D31460"/>
    <w:rsid w:val="00D336F0"/>
    <w:rsid w:val="00D33D2D"/>
    <w:rsid w:val="00D3529A"/>
    <w:rsid w:val="00D36E71"/>
    <w:rsid w:val="00D37D87"/>
    <w:rsid w:val="00D37FF7"/>
    <w:rsid w:val="00D40B33"/>
    <w:rsid w:val="00D42581"/>
    <w:rsid w:val="00D4318F"/>
    <w:rsid w:val="00D438BF"/>
    <w:rsid w:val="00D440B5"/>
    <w:rsid w:val="00D440F8"/>
    <w:rsid w:val="00D457F4"/>
    <w:rsid w:val="00D45973"/>
    <w:rsid w:val="00D47470"/>
    <w:rsid w:val="00D47973"/>
    <w:rsid w:val="00D50F97"/>
    <w:rsid w:val="00D520AD"/>
    <w:rsid w:val="00D52B50"/>
    <w:rsid w:val="00D53966"/>
    <w:rsid w:val="00D546FF"/>
    <w:rsid w:val="00D553B4"/>
    <w:rsid w:val="00D55AD5"/>
    <w:rsid w:val="00D56431"/>
    <w:rsid w:val="00D5679F"/>
    <w:rsid w:val="00D576CA"/>
    <w:rsid w:val="00D605D7"/>
    <w:rsid w:val="00D60681"/>
    <w:rsid w:val="00D61AF5"/>
    <w:rsid w:val="00D635C6"/>
    <w:rsid w:val="00D64BD7"/>
    <w:rsid w:val="00D64E69"/>
    <w:rsid w:val="00D652B5"/>
    <w:rsid w:val="00D66155"/>
    <w:rsid w:val="00D6650A"/>
    <w:rsid w:val="00D705DE"/>
    <w:rsid w:val="00D708B0"/>
    <w:rsid w:val="00D70F31"/>
    <w:rsid w:val="00D71671"/>
    <w:rsid w:val="00D721DF"/>
    <w:rsid w:val="00D72A8C"/>
    <w:rsid w:val="00D737EB"/>
    <w:rsid w:val="00D746AA"/>
    <w:rsid w:val="00D749AF"/>
    <w:rsid w:val="00D75B57"/>
    <w:rsid w:val="00D760DD"/>
    <w:rsid w:val="00D77A78"/>
    <w:rsid w:val="00D77B1D"/>
    <w:rsid w:val="00D8021F"/>
    <w:rsid w:val="00D80383"/>
    <w:rsid w:val="00D80AB6"/>
    <w:rsid w:val="00D81EF3"/>
    <w:rsid w:val="00D823C6"/>
    <w:rsid w:val="00D83A9D"/>
    <w:rsid w:val="00D83ADA"/>
    <w:rsid w:val="00D86CA3"/>
    <w:rsid w:val="00D871CE"/>
    <w:rsid w:val="00D90563"/>
    <w:rsid w:val="00D905FB"/>
    <w:rsid w:val="00D91336"/>
    <w:rsid w:val="00D9196D"/>
    <w:rsid w:val="00D92982"/>
    <w:rsid w:val="00D93CDF"/>
    <w:rsid w:val="00D9404F"/>
    <w:rsid w:val="00D9449C"/>
    <w:rsid w:val="00D9524D"/>
    <w:rsid w:val="00D95426"/>
    <w:rsid w:val="00D9734D"/>
    <w:rsid w:val="00DA0531"/>
    <w:rsid w:val="00DA076B"/>
    <w:rsid w:val="00DA1BEB"/>
    <w:rsid w:val="00DA280C"/>
    <w:rsid w:val="00DA2D6F"/>
    <w:rsid w:val="00DA305E"/>
    <w:rsid w:val="00DA306A"/>
    <w:rsid w:val="00DA30CA"/>
    <w:rsid w:val="00DA4D3C"/>
    <w:rsid w:val="00DA5417"/>
    <w:rsid w:val="00DA56E8"/>
    <w:rsid w:val="00DA6D19"/>
    <w:rsid w:val="00DB0A9F"/>
    <w:rsid w:val="00DB138B"/>
    <w:rsid w:val="00DB2E69"/>
    <w:rsid w:val="00DB377D"/>
    <w:rsid w:val="00DB526E"/>
    <w:rsid w:val="00DB5915"/>
    <w:rsid w:val="00DB60B2"/>
    <w:rsid w:val="00DB6A1E"/>
    <w:rsid w:val="00DC0DF0"/>
    <w:rsid w:val="00DC2D36"/>
    <w:rsid w:val="00DC4E30"/>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4ED"/>
    <w:rsid w:val="00E01633"/>
    <w:rsid w:val="00E03399"/>
    <w:rsid w:val="00E04A40"/>
    <w:rsid w:val="00E05987"/>
    <w:rsid w:val="00E05DFB"/>
    <w:rsid w:val="00E07CBA"/>
    <w:rsid w:val="00E109F4"/>
    <w:rsid w:val="00E110E7"/>
    <w:rsid w:val="00E1134F"/>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5BE5"/>
    <w:rsid w:val="00E46886"/>
    <w:rsid w:val="00E47AEF"/>
    <w:rsid w:val="00E51247"/>
    <w:rsid w:val="00E520C0"/>
    <w:rsid w:val="00E52195"/>
    <w:rsid w:val="00E524DE"/>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106C"/>
    <w:rsid w:val="00E8234C"/>
    <w:rsid w:val="00E82819"/>
    <w:rsid w:val="00E831E3"/>
    <w:rsid w:val="00E83AA9"/>
    <w:rsid w:val="00E84309"/>
    <w:rsid w:val="00E843B7"/>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1E9"/>
    <w:rsid w:val="00EA5ECA"/>
    <w:rsid w:val="00EA68E5"/>
    <w:rsid w:val="00EA6A50"/>
    <w:rsid w:val="00EA7A41"/>
    <w:rsid w:val="00EA7C6C"/>
    <w:rsid w:val="00EB077B"/>
    <w:rsid w:val="00EB33EE"/>
    <w:rsid w:val="00EB4EA2"/>
    <w:rsid w:val="00EB5E0D"/>
    <w:rsid w:val="00EB6B85"/>
    <w:rsid w:val="00EB6BFF"/>
    <w:rsid w:val="00EC1625"/>
    <w:rsid w:val="00EC27C6"/>
    <w:rsid w:val="00EC3234"/>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C23"/>
    <w:rsid w:val="00EF4EF4"/>
    <w:rsid w:val="00EF5787"/>
    <w:rsid w:val="00EF60D0"/>
    <w:rsid w:val="00F0076E"/>
    <w:rsid w:val="00F007E7"/>
    <w:rsid w:val="00F00D08"/>
    <w:rsid w:val="00F0171F"/>
    <w:rsid w:val="00F01DC2"/>
    <w:rsid w:val="00F02BE8"/>
    <w:rsid w:val="00F03C25"/>
    <w:rsid w:val="00F042EC"/>
    <w:rsid w:val="00F0528D"/>
    <w:rsid w:val="00F065DF"/>
    <w:rsid w:val="00F0699F"/>
    <w:rsid w:val="00F06C17"/>
    <w:rsid w:val="00F06C67"/>
    <w:rsid w:val="00F06DFD"/>
    <w:rsid w:val="00F071D1"/>
    <w:rsid w:val="00F072D1"/>
    <w:rsid w:val="00F07533"/>
    <w:rsid w:val="00F10629"/>
    <w:rsid w:val="00F11762"/>
    <w:rsid w:val="00F12749"/>
    <w:rsid w:val="00F15FA5"/>
    <w:rsid w:val="00F17D24"/>
    <w:rsid w:val="00F20714"/>
    <w:rsid w:val="00F209B7"/>
    <w:rsid w:val="00F228A9"/>
    <w:rsid w:val="00F23761"/>
    <w:rsid w:val="00F2376F"/>
    <w:rsid w:val="00F24227"/>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47BA7"/>
    <w:rsid w:val="00F507D1"/>
    <w:rsid w:val="00F519CE"/>
    <w:rsid w:val="00F51ADA"/>
    <w:rsid w:val="00F51E49"/>
    <w:rsid w:val="00F52DD6"/>
    <w:rsid w:val="00F533E7"/>
    <w:rsid w:val="00F55744"/>
    <w:rsid w:val="00F607C5"/>
    <w:rsid w:val="00F60DEA"/>
    <w:rsid w:val="00F60FBB"/>
    <w:rsid w:val="00F61B34"/>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435"/>
    <w:rsid w:val="00F817CE"/>
    <w:rsid w:val="00F81B9B"/>
    <w:rsid w:val="00F81F40"/>
    <w:rsid w:val="00F8227A"/>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528C"/>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61AD"/>
    <w:rsid w:val="00FE7336"/>
    <w:rsid w:val="00FE7519"/>
    <w:rsid w:val="00FE76F3"/>
    <w:rsid w:val="00FE787C"/>
    <w:rsid w:val="00FF0960"/>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1D3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E1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D3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styleId="UnresolvedMention">
    <w:name w:val="Unresolved Mention"/>
    <w:basedOn w:val="DefaultParagraphFont"/>
    <w:uiPriority w:val="99"/>
    <w:semiHidden/>
    <w:unhideWhenUsed/>
    <w:rsid w:val="001D05A0"/>
    <w:rPr>
      <w:color w:val="605E5C"/>
      <w:shd w:val="clear" w:color="auto" w:fill="E1DFDD"/>
    </w:rPr>
  </w:style>
  <w:style w:type="paragraph" w:styleId="BlockText">
    <w:name w:val="Block Text"/>
    <w:basedOn w:val="Normal"/>
    <w:rsid w:val="00566F8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character" w:customStyle="1" w:styleId="THChar">
    <w:name w:val="TH Char"/>
    <w:link w:val="TH"/>
    <w:qFormat/>
    <w:rsid w:val="00927CDC"/>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88105303">
      <w:bodyDiv w:val="1"/>
      <w:marLeft w:val="0"/>
      <w:marRight w:val="0"/>
      <w:marTop w:val="0"/>
      <w:marBottom w:val="0"/>
      <w:divBdr>
        <w:top w:val="none" w:sz="0" w:space="0" w:color="auto"/>
        <w:left w:val="none" w:sz="0" w:space="0" w:color="auto"/>
        <w:bottom w:val="none" w:sz="0" w:space="0" w:color="auto"/>
        <w:right w:val="none" w:sz="0" w:space="0" w:color="auto"/>
      </w:divBdr>
      <w:divsChild>
        <w:div w:id="547037801">
          <w:marLeft w:val="1123"/>
          <w:marRight w:val="0"/>
          <w:marTop w:val="60"/>
          <w:marBottom w:val="0"/>
          <w:divBdr>
            <w:top w:val="none" w:sz="0" w:space="0" w:color="auto"/>
            <w:left w:val="none" w:sz="0" w:space="0" w:color="auto"/>
            <w:bottom w:val="none" w:sz="0" w:space="0" w:color="auto"/>
            <w:right w:val="none" w:sz="0" w:space="0" w:color="auto"/>
          </w:divBdr>
        </w:div>
        <w:div w:id="593630586">
          <w:marLeft w:val="1123"/>
          <w:marRight w:val="0"/>
          <w:marTop w:val="60"/>
          <w:marBottom w:val="0"/>
          <w:divBdr>
            <w:top w:val="none" w:sz="0" w:space="0" w:color="auto"/>
            <w:left w:val="none" w:sz="0" w:space="0" w:color="auto"/>
            <w:bottom w:val="none" w:sz="0" w:space="0" w:color="auto"/>
            <w:right w:val="none" w:sz="0" w:space="0" w:color="auto"/>
          </w:divBdr>
        </w:div>
        <w:div w:id="2105370575">
          <w:marLeft w:val="1123"/>
          <w:marRight w:val="0"/>
          <w:marTop w:val="60"/>
          <w:marBottom w:val="0"/>
          <w:divBdr>
            <w:top w:val="none" w:sz="0" w:space="0" w:color="auto"/>
            <w:left w:val="none" w:sz="0" w:space="0" w:color="auto"/>
            <w:bottom w:val="none" w:sz="0" w:space="0" w:color="auto"/>
            <w:right w:val="none" w:sz="0" w:space="0" w:color="auto"/>
          </w:divBdr>
        </w:div>
      </w:divsChild>
    </w:div>
    <w:div w:id="253439925">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56210981">
      <w:bodyDiv w:val="1"/>
      <w:marLeft w:val="0"/>
      <w:marRight w:val="0"/>
      <w:marTop w:val="0"/>
      <w:marBottom w:val="0"/>
      <w:divBdr>
        <w:top w:val="none" w:sz="0" w:space="0" w:color="auto"/>
        <w:left w:val="none" w:sz="0" w:space="0" w:color="auto"/>
        <w:bottom w:val="none" w:sz="0" w:space="0" w:color="auto"/>
        <w:right w:val="none" w:sz="0" w:space="0" w:color="auto"/>
      </w:divBdr>
      <w:divsChild>
        <w:div w:id="899050504">
          <w:marLeft w:val="1123"/>
          <w:marRight w:val="0"/>
          <w:marTop w:val="60"/>
          <w:marBottom w:val="0"/>
          <w:divBdr>
            <w:top w:val="none" w:sz="0" w:space="0" w:color="auto"/>
            <w:left w:val="none" w:sz="0" w:space="0" w:color="auto"/>
            <w:bottom w:val="none" w:sz="0" w:space="0" w:color="auto"/>
            <w:right w:val="none" w:sz="0" w:space="0" w:color="auto"/>
          </w:divBdr>
        </w:div>
      </w:divsChild>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53479316">
      <w:bodyDiv w:val="1"/>
      <w:marLeft w:val="0"/>
      <w:marRight w:val="0"/>
      <w:marTop w:val="0"/>
      <w:marBottom w:val="0"/>
      <w:divBdr>
        <w:top w:val="none" w:sz="0" w:space="0" w:color="auto"/>
        <w:left w:val="none" w:sz="0" w:space="0" w:color="auto"/>
        <w:bottom w:val="none" w:sz="0" w:space="0" w:color="auto"/>
        <w:right w:val="none" w:sz="0" w:space="0" w:color="auto"/>
      </w:divBdr>
      <w:divsChild>
        <w:div w:id="475345200">
          <w:marLeft w:val="1080"/>
          <w:marRight w:val="0"/>
          <w:marTop w:val="60"/>
          <w:marBottom w:val="0"/>
          <w:divBdr>
            <w:top w:val="none" w:sz="0" w:space="0" w:color="auto"/>
            <w:left w:val="none" w:sz="0" w:space="0" w:color="auto"/>
            <w:bottom w:val="none" w:sz="0" w:space="0" w:color="auto"/>
            <w:right w:val="none" w:sz="0" w:space="0" w:color="auto"/>
          </w:divBdr>
        </w:div>
        <w:div w:id="605312655">
          <w:marLeft w:val="1080"/>
          <w:marRight w:val="0"/>
          <w:marTop w:val="60"/>
          <w:marBottom w:val="0"/>
          <w:divBdr>
            <w:top w:val="none" w:sz="0" w:space="0" w:color="auto"/>
            <w:left w:val="none" w:sz="0" w:space="0" w:color="auto"/>
            <w:bottom w:val="none" w:sz="0" w:space="0" w:color="auto"/>
            <w:right w:val="none" w:sz="0" w:space="0" w:color="auto"/>
          </w:divBdr>
        </w:div>
        <w:div w:id="627011564">
          <w:marLeft w:val="1080"/>
          <w:marRight w:val="0"/>
          <w:marTop w:val="60"/>
          <w:marBottom w:val="0"/>
          <w:divBdr>
            <w:top w:val="none" w:sz="0" w:space="0" w:color="auto"/>
            <w:left w:val="none" w:sz="0" w:space="0" w:color="auto"/>
            <w:bottom w:val="none" w:sz="0" w:space="0" w:color="auto"/>
            <w:right w:val="none" w:sz="0" w:space="0" w:color="auto"/>
          </w:divBdr>
        </w:div>
        <w:div w:id="832061508">
          <w:marLeft w:val="547"/>
          <w:marRight w:val="0"/>
          <w:marTop w:val="60"/>
          <w:marBottom w:val="0"/>
          <w:divBdr>
            <w:top w:val="none" w:sz="0" w:space="0" w:color="auto"/>
            <w:left w:val="none" w:sz="0" w:space="0" w:color="auto"/>
            <w:bottom w:val="none" w:sz="0" w:space="0" w:color="auto"/>
            <w:right w:val="none" w:sz="0" w:space="0" w:color="auto"/>
          </w:divBdr>
        </w:div>
        <w:div w:id="1038430106">
          <w:marLeft w:val="1080"/>
          <w:marRight w:val="0"/>
          <w:marTop w:val="60"/>
          <w:marBottom w:val="0"/>
          <w:divBdr>
            <w:top w:val="none" w:sz="0" w:space="0" w:color="auto"/>
            <w:left w:val="none" w:sz="0" w:space="0" w:color="auto"/>
            <w:bottom w:val="none" w:sz="0" w:space="0" w:color="auto"/>
            <w:right w:val="none" w:sz="0" w:space="0" w:color="auto"/>
          </w:divBdr>
        </w:div>
        <w:div w:id="1802191506">
          <w:marLeft w:val="1080"/>
          <w:marRight w:val="0"/>
          <w:marTop w:val="60"/>
          <w:marBottom w:val="0"/>
          <w:divBdr>
            <w:top w:val="none" w:sz="0" w:space="0" w:color="auto"/>
            <w:left w:val="none" w:sz="0" w:space="0" w:color="auto"/>
            <w:bottom w:val="none" w:sz="0" w:space="0" w:color="auto"/>
            <w:right w:val="none" w:sz="0" w:space="0" w:color="auto"/>
          </w:divBdr>
        </w:div>
      </w:divsChild>
    </w:div>
    <w:div w:id="790058193">
      <w:bodyDiv w:val="1"/>
      <w:marLeft w:val="0"/>
      <w:marRight w:val="0"/>
      <w:marTop w:val="0"/>
      <w:marBottom w:val="0"/>
      <w:divBdr>
        <w:top w:val="none" w:sz="0" w:space="0" w:color="auto"/>
        <w:left w:val="none" w:sz="0" w:space="0" w:color="auto"/>
        <w:bottom w:val="none" w:sz="0" w:space="0" w:color="auto"/>
        <w:right w:val="none" w:sz="0" w:space="0" w:color="auto"/>
      </w:divBdr>
      <w:divsChild>
        <w:div w:id="438452713">
          <w:marLeft w:val="1123"/>
          <w:marRight w:val="0"/>
          <w:marTop w:val="60"/>
          <w:marBottom w:val="0"/>
          <w:divBdr>
            <w:top w:val="none" w:sz="0" w:space="0" w:color="auto"/>
            <w:left w:val="none" w:sz="0" w:space="0" w:color="auto"/>
            <w:bottom w:val="none" w:sz="0" w:space="0" w:color="auto"/>
            <w:right w:val="none" w:sz="0" w:space="0" w:color="auto"/>
          </w:divBdr>
        </w:div>
        <w:div w:id="457070302">
          <w:marLeft w:val="1123"/>
          <w:marRight w:val="0"/>
          <w:marTop w:val="60"/>
          <w:marBottom w:val="0"/>
          <w:divBdr>
            <w:top w:val="none" w:sz="0" w:space="0" w:color="auto"/>
            <w:left w:val="none" w:sz="0" w:space="0" w:color="auto"/>
            <w:bottom w:val="none" w:sz="0" w:space="0" w:color="auto"/>
            <w:right w:val="none" w:sz="0" w:space="0" w:color="auto"/>
          </w:divBdr>
        </w:div>
        <w:div w:id="1979650695">
          <w:marLeft w:val="1123"/>
          <w:marRight w:val="0"/>
          <w:marTop w:val="6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82975953">
      <w:bodyDiv w:val="1"/>
      <w:marLeft w:val="0"/>
      <w:marRight w:val="0"/>
      <w:marTop w:val="0"/>
      <w:marBottom w:val="0"/>
      <w:divBdr>
        <w:top w:val="none" w:sz="0" w:space="0" w:color="auto"/>
        <w:left w:val="none" w:sz="0" w:space="0" w:color="auto"/>
        <w:bottom w:val="none" w:sz="0" w:space="0" w:color="auto"/>
        <w:right w:val="none" w:sz="0" w:space="0" w:color="auto"/>
      </w:divBdr>
      <w:divsChild>
        <w:div w:id="53239866">
          <w:marLeft w:val="1123"/>
          <w:marRight w:val="0"/>
          <w:marTop w:val="60"/>
          <w:marBottom w:val="0"/>
          <w:divBdr>
            <w:top w:val="none" w:sz="0" w:space="0" w:color="auto"/>
            <w:left w:val="none" w:sz="0" w:space="0" w:color="auto"/>
            <w:bottom w:val="none" w:sz="0" w:space="0" w:color="auto"/>
            <w:right w:val="none" w:sz="0" w:space="0" w:color="auto"/>
          </w:divBdr>
        </w:div>
      </w:divsChild>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765807520">
      <w:bodyDiv w:val="1"/>
      <w:marLeft w:val="0"/>
      <w:marRight w:val="0"/>
      <w:marTop w:val="0"/>
      <w:marBottom w:val="0"/>
      <w:divBdr>
        <w:top w:val="none" w:sz="0" w:space="0" w:color="auto"/>
        <w:left w:val="none" w:sz="0" w:space="0" w:color="auto"/>
        <w:bottom w:val="none" w:sz="0" w:space="0" w:color="auto"/>
        <w:right w:val="none" w:sz="0" w:space="0" w:color="auto"/>
      </w:divBdr>
      <w:divsChild>
        <w:div w:id="1268537403">
          <w:marLeft w:val="547"/>
          <w:marRight w:val="0"/>
          <w:marTop w:val="60"/>
          <w:marBottom w:val="0"/>
          <w:divBdr>
            <w:top w:val="none" w:sz="0" w:space="0" w:color="auto"/>
            <w:left w:val="none" w:sz="0" w:space="0" w:color="auto"/>
            <w:bottom w:val="none" w:sz="0" w:space="0" w:color="auto"/>
            <w:right w:val="none" w:sz="0" w:space="0" w:color="auto"/>
          </w:divBdr>
        </w:div>
      </w:divsChild>
    </w:div>
    <w:div w:id="1924879262">
      <w:bodyDiv w:val="1"/>
      <w:marLeft w:val="0"/>
      <w:marRight w:val="0"/>
      <w:marTop w:val="0"/>
      <w:marBottom w:val="0"/>
      <w:divBdr>
        <w:top w:val="none" w:sz="0" w:space="0" w:color="auto"/>
        <w:left w:val="none" w:sz="0" w:space="0" w:color="auto"/>
        <w:bottom w:val="none" w:sz="0" w:space="0" w:color="auto"/>
        <w:right w:val="none" w:sz="0" w:space="0" w:color="auto"/>
      </w:divBdr>
      <w:divsChild>
        <w:div w:id="60520312">
          <w:marLeft w:val="547"/>
          <w:marRight w:val="0"/>
          <w:marTop w:val="6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2_RL2/TSGR2_108/Docs/R2-191616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0109C925-A33A-49F2-9F2F-75622AFDF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96782-61FF-4E8D-AFB9-C704083C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17899</CharactersWithSpaces>
  <SharedDoc>false</SharedDoc>
  <HyperlinkBase/>
  <HLinks>
    <vt:vector size="66" baseType="variant">
      <vt:variant>
        <vt:i4>7536718</vt:i4>
      </vt:variant>
      <vt:variant>
        <vt:i4>84</vt:i4>
      </vt:variant>
      <vt:variant>
        <vt:i4>0</vt:i4>
      </vt:variant>
      <vt:variant>
        <vt:i4>5</vt:i4>
      </vt:variant>
      <vt:variant>
        <vt:lpwstr>https://www.3gpp.org/ftp/TSG_RAN/WG2_RL2/TSGR2_108/Docs/R2-1916161.zip</vt:lpwstr>
      </vt:variant>
      <vt:variant>
        <vt:lpwstr/>
      </vt:variant>
      <vt:variant>
        <vt:i4>7667789</vt:i4>
      </vt:variant>
      <vt:variant>
        <vt:i4>81</vt:i4>
      </vt:variant>
      <vt:variant>
        <vt:i4>0</vt:i4>
      </vt:variant>
      <vt:variant>
        <vt:i4>5</vt:i4>
      </vt:variant>
      <vt:variant>
        <vt:lpwstr>https://www.3gpp.org/ftp/TSG_RAN/WG2_RL2/TSGR2_108/Docs/R2-1916157.zip</vt:lpwstr>
      </vt:variant>
      <vt:variant>
        <vt:lpwstr/>
      </vt:variant>
      <vt:variant>
        <vt:i4>7929928</vt:i4>
      </vt:variant>
      <vt:variant>
        <vt:i4>78</vt:i4>
      </vt:variant>
      <vt:variant>
        <vt:i4>0</vt:i4>
      </vt:variant>
      <vt:variant>
        <vt:i4>5</vt:i4>
      </vt:variant>
      <vt:variant>
        <vt:lpwstr>https://www.3gpp.org/ftp/TSG_RAN/WG2_RL2/TSGR2_108/Docs/R2-1915933.zip</vt:lpwstr>
      </vt:variant>
      <vt:variant>
        <vt:lpwstr/>
      </vt:variant>
      <vt:variant>
        <vt:i4>8257614</vt:i4>
      </vt:variant>
      <vt:variant>
        <vt:i4>75</vt:i4>
      </vt:variant>
      <vt:variant>
        <vt:i4>0</vt:i4>
      </vt:variant>
      <vt:variant>
        <vt:i4>5</vt:i4>
      </vt:variant>
      <vt:variant>
        <vt:lpwstr>https://www.3gpp.org/ftp/TSG_RAN/WG2_RL2/TSGR2_108/Docs/R2-1914944.zip</vt:lpwstr>
      </vt:variant>
      <vt:variant>
        <vt:lpwstr/>
      </vt:variant>
      <vt:variant>
        <vt:i4>7864392</vt:i4>
      </vt:variant>
      <vt:variant>
        <vt:i4>72</vt:i4>
      </vt:variant>
      <vt:variant>
        <vt:i4>0</vt:i4>
      </vt:variant>
      <vt:variant>
        <vt:i4>5</vt:i4>
      </vt:variant>
      <vt:variant>
        <vt:lpwstr>https://www.3gpp.org/ftp/TSG_RAN/WG2_RL2/TSGR2_108/Docs/R2-1914823.zip</vt:lpwstr>
      </vt:variant>
      <vt:variant>
        <vt:lpwstr/>
      </vt:variant>
      <vt:variant>
        <vt:i4>7798857</vt:i4>
      </vt:variant>
      <vt:variant>
        <vt:i4>69</vt:i4>
      </vt:variant>
      <vt:variant>
        <vt:i4>0</vt:i4>
      </vt:variant>
      <vt:variant>
        <vt:i4>5</vt:i4>
      </vt:variant>
      <vt:variant>
        <vt:lpwstr>https://www.3gpp.org/ftp/TSG_RAN/WG2_RL2/TSGR2_108/Docs/R2-1914531.zip</vt:lpwstr>
      </vt:variant>
      <vt:variant>
        <vt:lpwstr/>
      </vt:variant>
      <vt:variant>
        <vt:i4>7471171</vt:i4>
      </vt:variant>
      <vt:variant>
        <vt:i4>66</vt:i4>
      </vt:variant>
      <vt:variant>
        <vt:i4>0</vt:i4>
      </vt:variant>
      <vt:variant>
        <vt:i4>5</vt:i4>
      </vt:variant>
      <vt:variant>
        <vt:lpwstr>https://www.3gpp.org/ftp/TSG_RAN/WG2_RL2/TSGR2_108/Docs/R2-1915687.zip</vt:lpwstr>
      </vt:variant>
      <vt:variant>
        <vt:lpwstr/>
      </vt:variant>
      <vt:variant>
        <vt:i4>8061007</vt:i4>
      </vt:variant>
      <vt:variant>
        <vt:i4>63</vt:i4>
      </vt:variant>
      <vt:variant>
        <vt:i4>0</vt:i4>
      </vt:variant>
      <vt:variant>
        <vt:i4>5</vt:i4>
      </vt:variant>
      <vt:variant>
        <vt:lpwstr>https://www.3gpp.org/ftp/TSG_RAN/WG2_RL2/TSGR2_108/Docs/R2-1914951.zip</vt:lpwstr>
      </vt:variant>
      <vt:variant>
        <vt:lpwstr/>
      </vt:variant>
      <vt:variant>
        <vt:i4>7340109</vt:i4>
      </vt:variant>
      <vt:variant>
        <vt:i4>60</vt:i4>
      </vt:variant>
      <vt:variant>
        <vt:i4>0</vt:i4>
      </vt:variant>
      <vt:variant>
        <vt:i4>5</vt:i4>
      </vt:variant>
      <vt:variant>
        <vt:lpwstr>https://www.3gpp.org/ftp/TSG_RAN/WG2_RL2/TSGR2_108/Docs/R2-1914576.zip</vt:lpwstr>
      </vt:variant>
      <vt:variant>
        <vt:lpwstr/>
      </vt:variant>
      <vt:variant>
        <vt:i4>7602252</vt:i4>
      </vt:variant>
      <vt:variant>
        <vt:i4>57</vt:i4>
      </vt:variant>
      <vt:variant>
        <vt:i4>0</vt:i4>
      </vt:variant>
      <vt:variant>
        <vt:i4>5</vt:i4>
      </vt:variant>
      <vt:variant>
        <vt:lpwstr>https://www.3gpp.org/ftp/TSG_RAN/WG2_RL2/TSGR2_108/Docs/R2-1914364.zip</vt:lpwstr>
      </vt:variant>
      <vt:variant>
        <vt:lpwstr/>
      </vt:variant>
      <vt:variant>
        <vt:i4>7602252</vt:i4>
      </vt:variant>
      <vt:variant>
        <vt:i4>21</vt:i4>
      </vt:variant>
      <vt:variant>
        <vt:i4>0</vt:i4>
      </vt:variant>
      <vt:variant>
        <vt:i4>5</vt:i4>
      </vt:variant>
      <vt:variant>
        <vt:lpwstr>https://www.3gpp.org/ftp/TSG_RAN/WG2_RL2/TSGR2_108/Docs/R2-1914364.zip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2020-08-06T18:31:00Z</dcterms:created>
  <dcterms:modified xsi:type="dcterms:W3CDTF">2020-08-06T18:31:00Z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